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48A7" w14:textId="1CC600F7" w:rsidR="00E9036C" w:rsidRPr="00E43C15" w:rsidRDefault="005559DA" w:rsidP="00E43C15">
      <w:pPr>
        <w:pStyle w:val="NoSpacing"/>
        <w:jc w:val="center"/>
        <w:rPr>
          <w:sz w:val="32"/>
        </w:rPr>
      </w:pPr>
      <w:r w:rsidRPr="00E43C15">
        <w:rPr>
          <w:sz w:val="32"/>
        </w:rPr>
        <w:t>Port Moody Secondary</w:t>
      </w:r>
    </w:p>
    <w:p w14:paraId="45590F53" w14:textId="77777777" w:rsidR="005559DA" w:rsidRPr="00E43C15" w:rsidRDefault="005559DA" w:rsidP="00E43C15">
      <w:pPr>
        <w:pStyle w:val="NoSpacing"/>
        <w:jc w:val="center"/>
        <w:rPr>
          <w:sz w:val="32"/>
        </w:rPr>
      </w:pPr>
      <w:r w:rsidRPr="00E43C15">
        <w:rPr>
          <w:sz w:val="32"/>
        </w:rPr>
        <w:t>I.B. Diploma Programme</w:t>
      </w:r>
    </w:p>
    <w:p w14:paraId="04ADC922" w14:textId="77777777" w:rsidR="005559DA" w:rsidRPr="00E43C15" w:rsidRDefault="005559DA" w:rsidP="00E43C15">
      <w:pPr>
        <w:pStyle w:val="NoSpacing"/>
        <w:jc w:val="center"/>
        <w:rPr>
          <w:sz w:val="32"/>
        </w:rPr>
      </w:pPr>
      <w:r w:rsidRPr="00E43C15">
        <w:rPr>
          <w:sz w:val="32"/>
        </w:rPr>
        <w:t>Assessment Policy</w:t>
      </w:r>
    </w:p>
    <w:p w14:paraId="1A09D8FF" w14:textId="77777777" w:rsidR="00E43C15" w:rsidRDefault="00E43C15" w:rsidP="00E43C15">
      <w:pPr>
        <w:pStyle w:val="NoSpacing"/>
      </w:pPr>
    </w:p>
    <w:p w14:paraId="06D67898" w14:textId="77777777" w:rsidR="00213345" w:rsidRDefault="00213345" w:rsidP="00E43C15">
      <w:pPr>
        <w:pStyle w:val="NoSpacing"/>
        <w:rPr>
          <w:u w:val="single"/>
        </w:rPr>
      </w:pPr>
    </w:p>
    <w:p w14:paraId="6CDD1D68" w14:textId="77777777" w:rsidR="00C7115F" w:rsidRPr="00C7115F" w:rsidRDefault="00C7115F" w:rsidP="00E43C15">
      <w:pPr>
        <w:pStyle w:val="NoSpacing"/>
      </w:pPr>
      <w:r>
        <w:t>At Port Moody Secondary School assessment, evaluation and reporting on student progress and student success is an integral part of our mission. We subscribe to the policies and procedures in place as a school in School District 43 and as a public school under the regulations of the British Columbia Ministry of Education. These policies and procedures match with the assessment philosophy and requirements of the IBO and ensure that our practice</w:t>
      </w:r>
      <w:r w:rsidR="00D25392">
        <w:t>s meet</w:t>
      </w:r>
      <w:r>
        <w:t xml:space="preserve"> the standards expected of an IB World School.</w:t>
      </w:r>
    </w:p>
    <w:p w14:paraId="79BE15D7" w14:textId="77777777" w:rsidR="00C7115F" w:rsidRDefault="00C7115F" w:rsidP="00C7115F">
      <w:pPr>
        <w:autoSpaceDE w:val="0"/>
        <w:autoSpaceDN w:val="0"/>
        <w:adjustRightInd w:val="0"/>
        <w:spacing w:after="0" w:line="240" w:lineRule="auto"/>
        <w:rPr>
          <w:rFonts w:cs="Arial"/>
          <w:b/>
          <w:bCs/>
          <w:sz w:val="28"/>
          <w:szCs w:val="28"/>
        </w:rPr>
      </w:pPr>
    </w:p>
    <w:p w14:paraId="0C58CB13" w14:textId="55836AAB" w:rsidR="00C7115F" w:rsidRDefault="00E770F9" w:rsidP="00C7115F">
      <w:pPr>
        <w:autoSpaceDE w:val="0"/>
        <w:autoSpaceDN w:val="0"/>
        <w:adjustRightInd w:val="0"/>
        <w:spacing w:after="0" w:line="240" w:lineRule="auto"/>
        <w:jc w:val="center"/>
        <w:rPr>
          <w:rFonts w:cs="Arial"/>
          <w:b/>
          <w:bCs/>
          <w:sz w:val="28"/>
          <w:szCs w:val="28"/>
        </w:rPr>
      </w:pPr>
      <w:r>
        <w:rPr>
          <w:rFonts w:cs="Arial"/>
          <w:b/>
          <w:bCs/>
          <w:sz w:val="28"/>
          <w:szCs w:val="28"/>
        </w:rPr>
        <w:t>COMMUNICATING STUDENT LEARNING</w:t>
      </w:r>
    </w:p>
    <w:p w14:paraId="45735605" w14:textId="77777777" w:rsidR="00C7115F" w:rsidRDefault="00C7115F" w:rsidP="00C7115F">
      <w:pPr>
        <w:autoSpaceDE w:val="0"/>
        <w:autoSpaceDN w:val="0"/>
        <w:adjustRightInd w:val="0"/>
        <w:spacing w:after="0" w:line="240" w:lineRule="auto"/>
        <w:jc w:val="center"/>
        <w:rPr>
          <w:rFonts w:cs="Arial"/>
          <w:bCs/>
          <w:i/>
        </w:rPr>
      </w:pPr>
      <w:r>
        <w:rPr>
          <w:rFonts w:cs="Arial"/>
          <w:bCs/>
          <w:i/>
        </w:rPr>
        <w:t>(from School District No. 43 Administrative Procedure 360)</w:t>
      </w:r>
    </w:p>
    <w:p w14:paraId="74B7C78B" w14:textId="77777777" w:rsidR="00C7115F" w:rsidRPr="00C7115F" w:rsidRDefault="00C7115F" w:rsidP="00C7115F">
      <w:pPr>
        <w:autoSpaceDE w:val="0"/>
        <w:autoSpaceDN w:val="0"/>
        <w:adjustRightInd w:val="0"/>
        <w:spacing w:after="0" w:line="240" w:lineRule="auto"/>
        <w:jc w:val="center"/>
        <w:rPr>
          <w:rFonts w:cs="Arial"/>
          <w:bCs/>
          <w:i/>
        </w:rPr>
      </w:pPr>
    </w:p>
    <w:p w14:paraId="68997694" w14:textId="77777777" w:rsidR="00E770F9" w:rsidRPr="00E770F9" w:rsidRDefault="00E770F9" w:rsidP="00E770F9">
      <w:pPr>
        <w:rPr>
          <w:b/>
          <w:bCs/>
        </w:rPr>
      </w:pPr>
      <w:r w:rsidRPr="00E770F9">
        <w:rPr>
          <w:b/>
          <w:bCs/>
        </w:rPr>
        <w:t>Background</w:t>
      </w:r>
    </w:p>
    <w:p w14:paraId="00679BDF" w14:textId="77777777" w:rsidR="00E770F9" w:rsidRDefault="00E770F9" w:rsidP="00E770F9">
      <w:r>
        <w:t>The mission of School District No. 43 (Coquitlam) is to ensure quality learning for all students of all ages and its first strategic goal is to achieve student success. The core work and common goal of the School District is educational excellence that includes the following objectives:</w:t>
      </w:r>
    </w:p>
    <w:p w14:paraId="08D8365A" w14:textId="77777777" w:rsidR="00E770F9" w:rsidRDefault="00E770F9" w:rsidP="00E770F9">
      <w:pPr>
        <w:pStyle w:val="ListParagraph"/>
        <w:numPr>
          <w:ilvl w:val="0"/>
          <w:numId w:val="5"/>
        </w:numPr>
      </w:pPr>
      <w:r>
        <w:t>Developing in our students the attributes of the educated citizen: strong character and cultural identity, effective communicator, critical and creative thinker, contributor, collaborator, personally and socially responsible.</w:t>
      </w:r>
    </w:p>
    <w:p w14:paraId="69CC626C" w14:textId="77777777" w:rsidR="00E770F9" w:rsidRDefault="00E770F9" w:rsidP="00E770F9">
      <w:pPr>
        <w:pStyle w:val="ListParagraph"/>
        <w:numPr>
          <w:ilvl w:val="0"/>
          <w:numId w:val="5"/>
        </w:numPr>
      </w:pPr>
      <w:r>
        <w:t>Developing in our students the ability to assess their own learning in order to achieve their highest level of success.</w:t>
      </w:r>
    </w:p>
    <w:p w14:paraId="2DC6EA7D" w14:textId="77777777" w:rsidR="00E770F9" w:rsidRDefault="00E770F9" w:rsidP="002D3FA7">
      <w:pPr>
        <w:pStyle w:val="ListParagraph"/>
        <w:numPr>
          <w:ilvl w:val="0"/>
          <w:numId w:val="5"/>
        </w:numPr>
      </w:pPr>
      <w:r>
        <w:t>Fostering the early identification of learners’ needs and offer an inter-disciplinary approach to increasing academic, social and emotional development.</w:t>
      </w:r>
    </w:p>
    <w:p w14:paraId="5168E618" w14:textId="04DD02F3" w:rsidR="00E770F9" w:rsidRDefault="00E770F9" w:rsidP="002D3FA7">
      <w:pPr>
        <w:pStyle w:val="ListParagraph"/>
        <w:numPr>
          <w:ilvl w:val="0"/>
          <w:numId w:val="5"/>
        </w:numPr>
      </w:pPr>
      <w:r>
        <w:t>Pursuing and developing innovative and personalized learning experiences for all students.</w:t>
      </w:r>
    </w:p>
    <w:p w14:paraId="2C378D10" w14:textId="77777777" w:rsidR="00E770F9" w:rsidRDefault="00E770F9" w:rsidP="00E770F9">
      <w:r>
        <w:t>Related to these objectives, effective assessment and the communication of student learning are integral to attaining educational excellence for all students of all ages.</w:t>
      </w:r>
    </w:p>
    <w:p w14:paraId="1EEEDC4C" w14:textId="77777777" w:rsidR="00E770F9" w:rsidRPr="00E770F9" w:rsidRDefault="00E770F9" w:rsidP="00E770F9">
      <w:pPr>
        <w:rPr>
          <w:b/>
          <w:bCs/>
        </w:rPr>
      </w:pPr>
      <w:r w:rsidRPr="00E770F9">
        <w:rPr>
          <w:b/>
          <w:bCs/>
        </w:rPr>
        <w:t>Principles of Quality Assessment</w:t>
      </w:r>
    </w:p>
    <w:p w14:paraId="4D144A72" w14:textId="77777777" w:rsidR="00E770F9" w:rsidRDefault="00E770F9" w:rsidP="00E770F9">
      <w:r>
        <w:t>The following principles provide a foundation for the development of classroom assessment, evaluation and communication of student learning.</w:t>
      </w:r>
    </w:p>
    <w:p w14:paraId="1EE33B0D" w14:textId="77777777" w:rsidR="00E770F9" w:rsidRDefault="00E770F9" w:rsidP="00E770F9">
      <w:r>
        <w:t>Quality assessment:</w:t>
      </w:r>
    </w:p>
    <w:p w14:paraId="25408199" w14:textId="77777777" w:rsidR="00E770F9" w:rsidRDefault="00E770F9" w:rsidP="00E770F9">
      <w:pPr>
        <w:pStyle w:val="ListParagraph"/>
        <w:numPr>
          <w:ilvl w:val="0"/>
          <w:numId w:val="6"/>
        </w:numPr>
      </w:pPr>
      <w:r>
        <w:t>is fair, transparent, meaningful and responsive to all learners;</w:t>
      </w:r>
    </w:p>
    <w:p w14:paraId="1C70E859" w14:textId="77777777" w:rsidR="00E770F9" w:rsidRDefault="00E770F9" w:rsidP="00E770F9">
      <w:pPr>
        <w:pStyle w:val="ListParagraph"/>
        <w:numPr>
          <w:ilvl w:val="0"/>
          <w:numId w:val="6"/>
        </w:numPr>
      </w:pPr>
      <w:r>
        <w:t>focuses on all three components of the curriculum model –knowing, doing; understanding;</w:t>
      </w:r>
    </w:p>
    <w:p w14:paraId="7105B748" w14:textId="77777777" w:rsidR="00E770F9" w:rsidRDefault="00E770F9" w:rsidP="00E770F9">
      <w:pPr>
        <w:pStyle w:val="ListParagraph"/>
        <w:numPr>
          <w:ilvl w:val="0"/>
          <w:numId w:val="6"/>
        </w:numPr>
      </w:pPr>
      <w:r>
        <w:t>provides ongoing descriptive feedback to students;</w:t>
      </w:r>
    </w:p>
    <w:p w14:paraId="766A2D96" w14:textId="77777777" w:rsidR="00E770F9" w:rsidRDefault="00E770F9" w:rsidP="00E770F9">
      <w:pPr>
        <w:pStyle w:val="ListParagraph"/>
        <w:numPr>
          <w:ilvl w:val="0"/>
          <w:numId w:val="6"/>
        </w:numPr>
      </w:pPr>
      <w:r>
        <w:t>is ongoing, timely, specific, and embedded in day-to-day instruction;</w:t>
      </w:r>
    </w:p>
    <w:p w14:paraId="000670BD" w14:textId="77777777" w:rsidR="00E770F9" w:rsidRDefault="00E770F9" w:rsidP="00E770F9">
      <w:pPr>
        <w:pStyle w:val="ListParagraph"/>
        <w:numPr>
          <w:ilvl w:val="0"/>
          <w:numId w:val="6"/>
        </w:numPr>
      </w:pPr>
      <w:r>
        <w:t>provides varied and multiple opportunities for learners to demonstrate their learning;</w:t>
      </w:r>
    </w:p>
    <w:p w14:paraId="1D7F7C61" w14:textId="77777777" w:rsidR="00E770F9" w:rsidRDefault="00E770F9" w:rsidP="00E770F9">
      <w:pPr>
        <w:pStyle w:val="ListParagraph"/>
        <w:numPr>
          <w:ilvl w:val="0"/>
          <w:numId w:val="6"/>
        </w:numPr>
      </w:pPr>
      <w:r>
        <w:lastRenderedPageBreak/>
        <w:t>involves students in their learning;</w:t>
      </w:r>
    </w:p>
    <w:p w14:paraId="5E192398" w14:textId="77777777" w:rsidR="00E770F9" w:rsidRDefault="00E770F9" w:rsidP="00E770F9">
      <w:pPr>
        <w:pStyle w:val="ListParagraph"/>
        <w:numPr>
          <w:ilvl w:val="0"/>
          <w:numId w:val="6"/>
        </w:numPr>
      </w:pPr>
      <w:r>
        <w:t>promotes the development of student self-assessment and goal setting for the next steps in learning;</w:t>
      </w:r>
    </w:p>
    <w:p w14:paraId="4F2F20F9" w14:textId="77777777" w:rsidR="00E770F9" w:rsidRDefault="00E770F9" w:rsidP="00E770F9">
      <w:pPr>
        <w:pStyle w:val="ListParagraph"/>
        <w:numPr>
          <w:ilvl w:val="0"/>
          <w:numId w:val="6"/>
        </w:numPr>
      </w:pPr>
      <w:r>
        <w:t>allows for a collection of student work to be gathered over time to provide a full profile of the learner and learning; and</w:t>
      </w:r>
    </w:p>
    <w:p w14:paraId="3FB8EE30" w14:textId="5E10D2C3" w:rsidR="00C7115F" w:rsidRDefault="00E770F9" w:rsidP="00E770F9">
      <w:pPr>
        <w:pStyle w:val="ListParagraph"/>
        <w:numPr>
          <w:ilvl w:val="0"/>
          <w:numId w:val="6"/>
        </w:numPr>
      </w:pPr>
      <w:r>
        <w:t>communicates clearly to the learner and parents where the student is, what they are working towards, and the ways that learning can be supported.</w:t>
      </w:r>
    </w:p>
    <w:p w14:paraId="34967EA8" w14:textId="77777777" w:rsidR="00D25392" w:rsidRDefault="00D25392" w:rsidP="00D25392">
      <w:pPr>
        <w:autoSpaceDE w:val="0"/>
        <w:autoSpaceDN w:val="0"/>
        <w:adjustRightInd w:val="0"/>
        <w:spacing w:after="0" w:line="240" w:lineRule="auto"/>
        <w:rPr>
          <w:rFonts w:cs="Arial"/>
        </w:rPr>
      </w:pPr>
    </w:p>
    <w:p w14:paraId="0C85B6FF" w14:textId="141AB364" w:rsidR="00D25392" w:rsidRDefault="00D25392" w:rsidP="00D25392">
      <w:pPr>
        <w:autoSpaceDE w:val="0"/>
        <w:autoSpaceDN w:val="0"/>
        <w:adjustRightInd w:val="0"/>
        <w:spacing w:after="0" w:line="240" w:lineRule="auto"/>
        <w:rPr>
          <w:rStyle w:val="A0"/>
          <w:sz w:val="22"/>
          <w:szCs w:val="22"/>
        </w:rPr>
      </w:pPr>
      <w:r>
        <w:rPr>
          <w:rFonts w:cs="Arial"/>
        </w:rPr>
        <w:t xml:space="preserve">Further information about expectations of assessment and reporting for BC public schools can be found </w:t>
      </w:r>
      <w:r w:rsidR="00E770F9">
        <w:rPr>
          <w:rFonts w:cs="Arial"/>
        </w:rPr>
        <w:t xml:space="preserve">at </w:t>
      </w:r>
      <w:hyperlink r:id="rId7" w:history="1">
        <w:r w:rsidR="00E770F9" w:rsidRPr="00DC17E4">
          <w:rPr>
            <w:rStyle w:val="Hyperlink"/>
            <w:rFonts w:cs="Arial"/>
          </w:rPr>
          <w:t>https://www2.gov.bc.ca/gov/content/education-training/k-</w:t>
        </w:r>
        <w:r w:rsidR="00E770F9" w:rsidRPr="00DC17E4">
          <w:rPr>
            <w:rStyle w:val="Hyperlink"/>
            <w:rFonts w:cs="Arial"/>
          </w:rPr>
          <w:t>1</w:t>
        </w:r>
        <w:r w:rsidR="00E770F9" w:rsidRPr="00DC17E4">
          <w:rPr>
            <w:rStyle w:val="Hyperlink"/>
            <w:rFonts w:cs="Arial"/>
          </w:rPr>
          <w:t>2/administration/legislation-policy/public-schools/student-reporting</w:t>
        </w:r>
      </w:hyperlink>
      <w:r>
        <w:rPr>
          <w:rStyle w:val="A0"/>
          <w:sz w:val="22"/>
          <w:szCs w:val="22"/>
        </w:rPr>
        <w:t>.</w:t>
      </w:r>
    </w:p>
    <w:p w14:paraId="08B9AE73" w14:textId="77777777" w:rsidR="00E770F9" w:rsidRPr="00C7115F" w:rsidRDefault="00E770F9" w:rsidP="00D25392">
      <w:pPr>
        <w:autoSpaceDE w:val="0"/>
        <w:autoSpaceDN w:val="0"/>
        <w:adjustRightInd w:val="0"/>
        <w:spacing w:after="0" w:line="240" w:lineRule="auto"/>
        <w:rPr>
          <w:rFonts w:cs="Arial"/>
        </w:rPr>
      </w:pPr>
    </w:p>
    <w:p w14:paraId="00C9FE73" w14:textId="77777777" w:rsidR="00C7115F" w:rsidRPr="00C7115F" w:rsidRDefault="00C7115F" w:rsidP="00C7115F">
      <w:pPr>
        <w:pStyle w:val="NoSpacing"/>
        <w:rPr>
          <w:u w:val="single"/>
        </w:rPr>
      </w:pPr>
    </w:p>
    <w:p w14:paraId="603342E3" w14:textId="77777777" w:rsidR="005559DA" w:rsidRPr="00213345" w:rsidRDefault="005559DA" w:rsidP="00E43C15">
      <w:pPr>
        <w:pStyle w:val="NoSpacing"/>
        <w:rPr>
          <w:b/>
          <w:sz w:val="24"/>
          <w:u w:val="single"/>
        </w:rPr>
      </w:pPr>
      <w:r w:rsidRPr="00213345">
        <w:rPr>
          <w:b/>
          <w:sz w:val="24"/>
          <w:u w:val="single"/>
        </w:rPr>
        <w:t>Academic Requirements</w:t>
      </w:r>
    </w:p>
    <w:p w14:paraId="2999F8C0" w14:textId="77777777" w:rsidR="00E43C15" w:rsidRDefault="00E43C15" w:rsidP="00E43C15">
      <w:pPr>
        <w:pStyle w:val="NoSpacing"/>
      </w:pPr>
    </w:p>
    <w:p w14:paraId="12E8AD7A" w14:textId="77777777" w:rsidR="008C4748" w:rsidRDefault="008C4748" w:rsidP="008C4748">
      <w:pPr>
        <w:pStyle w:val="NoSpacing"/>
        <w:ind w:firstLine="720"/>
        <w:rPr>
          <w:u w:val="single"/>
        </w:rPr>
      </w:pPr>
      <w:r w:rsidRPr="008C4748">
        <w:rPr>
          <w:u w:val="single"/>
        </w:rPr>
        <w:t>Grade 9</w:t>
      </w:r>
      <w:r w:rsidR="005559DA" w:rsidRPr="008C4748">
        <w:rPr>
          <w:u w:val="single"/>
        </w:rPr>
        <w:t xml:space="preserve"> </w:t>
      </w:r>
    </w:p>
    <w:p w14:paraId="0353DEFE" w14:textId="77777777" w:rsidR="008C4748" w:rsidRPr="008C4748" w:rsidRDefault="008C4748" w:rsidP="008C4748">
      <w:pPr>
        <w:pStyle w:val="NoSpacing"/>
        <w:ind w:firstLine="720"/>
        <w:rPr>
          <w:u w:val="single"/>
        </w:rPr>
      </w:pPr>
    </w:p>
    <w:p w14:paraId="439E5631" w14:textId="73771AA1" w:rsidR="005559DA" w:rsidRPr="00E43C15" w:rsidRDefault="005559DA" w:rsidP="00E43C15">
      <w:pPr>
        <w:pStyle w:val="NoSpacing"/>
      </w:pPr>
      <w:r w:rsidRPr="00E43C15">
        <w:t xml:space="preserve">Students are required to complete </w:t>
      </w:r>
      <w:r w:rsidR="00E43C15">
        <w:t>nine</w:t>
      </w:r>
      <w:r w:rsidRPr="00E43C15">
        <w:t xml:space="preserve"> courses including </w:t>
      </w:r>
      <w:r w:rsidR="0085514B">
        <w:t>Digital Learning 10</w:t>
      </w:r>
      <w:r w:rsidRPr="00E43C15">
        <w:t xml:space="preserve"> plus English, Social Stud</w:t>
      </w:r>
      <w:r w:rsidR="00D71492">
        <w:t xml:space="preserve">ies, Science, Mathematics, PE, </w:t>
      </w:r>
      <w:r w:rsidRPr="00E43C15">
        <w:t>and three elective courses</w:t>
      </w:r>
      <w:r w:rsidR="0085514B">
        <w:t xml:space="preserve"> typically including a Modern Language course for pre-Diploma students</w:t>
      </w:r>
      <w:r w:rsidRPr="00E43C15">
        <w:t>.</w:t>
      </w:r>
    </w:p>
    <w:p w14:paraId="2C5D7E2E" w14:textId="77777777" w:rsidR="005559DA" w:rsidRPr="00E43C15" w:rsidRDefault="005559DA" w:rsidP="00E43C15">
      <w:pPr>
        <w:pStyle w:val="NoSpacing"/>
      </w:pPr>
      <w:r w:rsidRPr="00E43C15">
        <w:t> </w:t>
      </w:r>
    </w:p>
    <w:p w14:paraId="19BE762B" w14:textId="77777777" w:rsidR="005559DA" w:rsidRPr="00E43C15" w:rsidRDefault="005559DA" w:rsidP="00E43C15">
      <w:pPr>
        <w:pStyle w:val="NoSpacing"/>
        <w:ind w:firstLine="720"/>
        <w:rPr>
          <w:u w:val="single"/>
        </w:rPr>
      </w:pPr>
      <w:r w:rsidRPr="00E43C15">
        <w:rPr>
          <w:u w:val="single"/>
        </w:rPr>
        <w:t>Grade 10, 11 and 12 Grad Program</w:t>
      </w:r>
      <w:r w:rsidR="00E43C15">
        <w:rPr>
          <w:u w:val="single"/>
        </w:rPr>
        <w:t xml:space="preserve"> (BC Dogwood Diploma)</w:t>
      </w:r>
      <w:r w:rsidRPr="00E43C15">
        <w:rPr>
          <w:u w:val="single"/>
        </w:rPr>
        <w:t xml:space="preserve"> </w:t>
      </w:r>
    </w:p>
    <w:p w14:paraId="1C468B6D" w14:textId="77777777" w:rsidR="0085514B" w:rsidRPr="0085514B" w:rsidRDefault="0085514B" w:rsidP="0085514B">
      <w:pPr>
        <w:pStyle w:val="NormalWeb"/>
        <w:rPr>
          <w:rFonts w:asciiTheme="minorHAnsi" w:hAnsiTheme="minorHAnsi" w:cstheme="minorHAnsi"/>
        </w:rPr>
      </w:pPr>
      <w:r w:rsidRPr="0085514B">
        <w:rPr>
          <w:rFonts w:asciiTheme="minorHAnsi" w:hAnsiTheme="minorHAnsi" w:cstheme="minorHAnsi"/>
        </w:rPr>
        <w:t xml:space="preserve">In order to meet </w:t>
      </w:r>
      <w:hyperlink r:id="rId8" w:tgtFrame="_self" w:history="1">
        <w:r w:rsidRPr="0085514B">
          <w:rPr>
            <w:rStyle w:val="Hyperlink"/>
            <w:rFonts w:asciiTheme="minorHAnsi" w:hAnsiTheme="minorHAnsi" w:cstheme="minorHAnsi"/>
          </w:rPr>
          <w:t>graduation requirements</w:t>
        </w:r>
      </w:hyperlink>
      <w:r w:rsidRPr="0085514B">
        <w:rPr>
          <w:rFonts w:asciiTheme="minorHAnsi" w:hAnsiTheme="minorHAnsi" w:cstheme="minorHAnsi"/>
        </w:rPr>
        <w:t> and be awarded a British Columbia Certificate of Graduation (Dogwood Diploma), students must earn a minimum of 80 credits and write the Grade 10 Numeracy Assessment and Grades 10 and 12 Literacy Assessments. The 80 credits must include 52 credits for required courses (including 8 credits of Career Education courses) and a minimum of 28 elective credits.</w:t>
      </w:r>
    </w:p>
    <w:p w14:paraId="595FA78B" w14:textId="77777777" w:rsidR="0085514B" w:rsidRPr="0085514B" w:rsidRDefault="0085514B" w:rsidP="0085514B">
      <w:pPr>
        <w:pStyle w:val="NormalWeb"/>
        <w:rPr>
          <w:rFonts w:asciiTheme="minorHAnsi" w:hAnsiTheme="minorHAnsi" w:cstheme="minorHAnsi"/>
        </w:rPr>
      </w:pPr>
      <w:r w:rsidRPr="0085514B">
        <w:rPr>
          <w:rFonts w:asciiTheme="minorHAnsi" w:hAnsiTheme="minorHAnsi" w:cstheme="minorHAnsi"/>
        </w:rPr>
        <w:t>See notes below for information concerning adult students, French Immersion and Programme Francophone students seeking graduation certificates in both English and French, international students, and students unable to meet graduation requirements.</w:t>
      </w:r>
    </w:p>
    <w:p w14:paraId="45AB5C42" w14:textId="77777777" w:rsidR="0085514B" w:rsidRPr="0085514B" w:rsidRDefault="0085514B" w:rsidP="0085514B">
      <w:pPr>
        <w:pStyle w:val="Heading3"/>
        <w:rPr>
          <w:rFonts w:asciiTheme="minorHAnsi" w:hAnsiTheme="minorHAnsi" w:cstheme="minorHAnsi"/>
        </w:rPr>
      </w:pPr>
      <w:r w:rsidRPr="0085514B">
        <w:rPr>
          <w:rFonts w:asciiTheme="minorHAnsi" w:hAnsiTheme="minorHAnsi" w:cstheme="minorHAnsi"/>
        </w:rPr>
        <w:t>Required Courses</w:t>
      </w:r>
    </w:p>
    <w:p w14:paraId="59FF24DE" w14:textId="77777777" w:rsidR="0085514B" w:rsidRPr="0085514B" w:rsidRDefault="0085514B" w:rsidP="0085514B">
      <w:pPr>
        <w:pStyle w:val="NormalWeb"/>
        <w:rPr>
          <w:rFonts w:asciiTheme="minorHAnsi" w:hAnsiTheme="minorHAnsi" w:cstheme="minorHAnsi"/>
        </w:rPr>
      </w:pPr>
      <w:r w:rsidRPr="0085514B">
        <w:rPr>
          <w:rFonts w:asciiTheme="minorHAnsi" w:hAnsiTheme="minorHAnsi" w:cstheme="minorHAnsi"/>
        </w:rPr>
        <w:t>Credits must be earned in the following subject areas or courses: </w:t>
      </w:r>
    </w:p>
    <w:p w14:paraId="2C365122"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Language Arts 10 (4 credits) </w:t>
      </w:r>
    </w:p>
    <w:p w14:paraId="3AD36230"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Language Arts 11 (4 credits) </w:t>
      </w:r>
    </w:p>
    <w:p w14:paraId="5A6AA74C"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Language Arts 12 (4 credits) </w:t>
      </w:r>
    </w:p>
    <w:p w14:paraId="48A102F9"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Social Studies 10 (4 credits) </w:t>
      </w:r>
    </w:p>
    <w:p w14:paraId="63FBE7AA"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Social Studies 11 or 12 (4 credits) </w:t>
      </w:r>
    </w:p>
    <w:p w14:paraId="51F36376"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Mathematics 10 (4 credits) </w:t>
      </w:r>
    </w:p>
    <w:p w14:paraId="013B85A1"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Mathematics 11 or 12 (4 credits) </w:t>
      </w:r>
    </w:p>
    <w:p w14:paraId="63822A35"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lastRenderedPageBreak/>
        <w:t>A Science 10 (4 credits) </w:t>
      </w:r>
    </w:p>
    <w:p w14:paraId="139A205B"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 Science 11 or 12 (4 credits)</w:t>
      </w:r>
    </w:p>
    <w:p w14:paraId="1AD7ED9F"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Physical and Health Education 10 (4 credits)</w:t>
      </w:r>
    </w:p>
    <w:p w14:paraId="68C3A6D4"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An Arts Education and/or an Applied Design, Skills, and Technologies 10, 11, or 12 (4 credits) </w:t>
      </w:r>
    </w:p>
    <w:p w14:paraId="34E40A74"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Career Life Education (4 credits)</w:t>
      </w:r>
    </w:p>
    <w:p w14:paraId="2B71CC26" w14:textId="77777777" w:rsidR="0085514B" w:rsidRPr="0085514B" w:rsidRDefault="0085514B" w:rsidP="0085514B">
      <w:pPr>
        <w:numPr>
          <w:ilvl w:val="0"/>
          <w:numId w:val="9"/>
        </w:numPr>
        <w:spacing w:before="100" w:beforeAutospacing="1" w:after="100" w:afterAutospacing="1" w:line="240" w:lineRule="auto"/>
        <w:rPr>
          <w:rFonts w:cstheme="minorHAnsi"/>
        </w:rPr>
      </w:pPr>
      <w:r w:rsidRPr="0085514B">
        <w:rPr>
          <w:rFonts w:cstheme="minorHAnsi"/>
        </w:rPr>
        <w:t>Career Life Connections (4 credits)</w:t>
      </w:r>
    </w:p>
    <w:p w14:paraId="5136DEBC" w14:textId="77777777" w:rsidR="008C4748" w:rsidRDefault="008C4748" w:rsidP="00E7228F">
      <w:pPr>
        <w:pStyle w:val="NoSpacing"/>
      </w:pPr>
    </w:p>
    <w:p w14:paraId="410BBFEB" w14:textId="77777777" w:rsidR="008C4748" w:rsidRPr="00041B19" w:rsidRDefault="008C4748" w:rsidP="00E43C15">
      <w:pPr>
        <w:pStyle w:val="NoSpacing"/>
        <w:rPr>
          <w:u w:val="single"/>
        </w:rPr>
      </w:pPr>
      <w:r>
        <w:tab/>
      </w:r>
      <w:r w:rsidRPr="00041B19">
        <w:rPr>
          <w:u w:val="single"/>
        </w:rPr>
        <w:t>IB Foundations Grade 9 and 10</w:t>
      </w:r>
    </w:p>
    <w:p w14:paraId="7ACE6A3E" w14:textId="77777777" w:rsidR="008C4748" w:rsidRDefault="008C4748" w:rsidP="00E43C15">
      <w:pPr>
        <w:pStyle w:val="NoSpacing"/>
      </w:pPr>
    </w:p>
    <w:p w14:paraId="5BCEBE7D" w14:textId="77777777" w:rsidR="008C4748" w:rsidRDefault="008C4748" w:rsidP="00E43C15">
      <w:pPr>
        <w:pStyle w:val="NoSpacing"/>
      </w:pPr>
      <w:r>
        <w:t xml:space="preserve">Students in the IB Foundations programme at Port Moody Secondary have been selected for transition into the IB Diploma programme. They meet all the provincial requirements for graduation </w:t>
      </w:r>
      <w:r w:rsidR="00D71492">
        <w:t>through their IB classes</w:t>
      </w:r>
      <w:r>
        <w:t>. The curriculum in the IB Foundations courses matches the provincial curriculum with some extension and enrichment as required to ensure the students are prepared for their studies in the Diploma programme.</w:t>
      </w:r>
    </w:p>
    <w:p w14:paraId="256EA5E4" w14:textId="77777777" w:rsidR="008C4748" w:rsidRDefault="008C4748" w:rsidP="00E43C15">
      <w:pPr>
        <w:pStyle w:val="NoSpacing"/>
      </w:pPr>
    </w:p>
    <w:p w14:paraId="20DEE58F" w14:textId="77777777" w:rsidR="00E43C15" w:rsidRPr="00041B19" w:rsidRDefault="00041B19" w:rsidP="00E43C15">
      <w:pPr>
        <w:pStyle w:val="NoSpacing"/>
        <w:rPr>
          <w:u w:val="single"/>
        </w:rPr>
      </w:pPr>
      <w:r>
        <w:tab/>
      </w:r>
      <w:r w:rsidRPr="00041B19">
        <w:rPr>
          <w:u w:val="single"/>
        </w:rPr>
        <w:t>IB Diploma Grade 11 and 12</w:t>
      </w:r>
    </w:p>
    <w:p w14:paraId="22196E9A" w14:textId="77777777" w:rsidR="00041B19" w:rsidRDefault="00041B19" w:rsidP="00E43C15">
      <w:pPr>
        <w:pStyle w:val="NoSpacing"/>
      </w:pPr>
    </w:p>
    <w:p w14:paraId="44B4C0A5" w14:textId="77777777" w:rsidR="00041B19" w:rsidRDefault="00237990" w:rsidP="00E43C15">
      <w:pPr>
        <w:pStyle w:val="NoSpacing"/>
      </w:pPr>
      <w:r>
        <w:t xml:space="preserve">Students in the IB Diploma programme complete one course from each of the 6 </w:t>
      </w:r>
      <w:r w:rsidR="00C62311">
        <w:t>subject groups</w:t>
      </w:r>
      <w:r>
        <w:t xml:space="preserve"> of the IB Curriculum</w:t>
      </w:r>
      <w:r w:rsidR="00C62311">
        <w:t xml:space="preserve"> (Studies in Language and Literature, Language Acquisition, Individuals and Societies, Sciences, Mathematics and the Arts) as well as the core components of Theory of Knowledge, Creativity Action and Service, and the Extended Essay. Each course within the IB diploma is recognized by the BC Ministry of Education and is granted 4 credits contributing towards graduation. </w:t>
      </w:r>
    </w:p>
    <w:p w14:paraId="654F4458" w14:textId="77777777" w:rsidR="003D711B" w:rsidRDefault="003D711B" w:rsidP="00E43C15">
      <w:pPr>
        <w:pStyle w:val="NoSpacing"/>
      </w:pPr>
    </w:p>
    <w:p w14:paraId="2CFDCBF9" w14:textId="77777777" w:rsidR="003D711B" w:rsidRPr="007B1BF1" w:rsidRDefault="003D711B" w:rsidP="003D711B">
      <w:pPr>
        <w:pStyle w:val="NoSpacing"/>
      </w:pPr>
      <w:r w:rsidRPr="007B1BF1">
        <w:t xml:space="preserve">As part of our regional organization, </w:t>
      </w:r>
      <w:r w:rsidR="00D71492">
        <w:t xml:space="preserve">the </w:t>
      </w:r>
      <w:r>
        <w:t>BC</w:t>
      </w:r>
      <w:r w:rsidR="00D71492">
        <w:t xml:space="preserve"> </w:t>
      </w:r>
      <w:r>
        <w:t>A</w:t>
      </w:r>
      <w:r w:rsidR="00D71492">
        <w:t xml:space="preserve">ssociation of </w:t>
      </w:r>
      <w:r>
        <w:t>IB</w:t>
      </w:r>
      <w:r w:rsidR="00D71492">
        <w:t xml:space="preserve"> </w:t>
      </w:r>
      <w:r>
        <w:t>W</w:t>
      </w:r>
      <w:r w:rsidR="00D71492">
        <w:t xml:space="preserve">orld </w:t>
      </w:r>
      <w:r>
        <w:t>S</w:t>
      </w:r>
      <w:r w:rsidR="00D71492">
        <w:t>chools</w:t>
      </w:r>
      <w:r w:rsidRPr="007B1BF1">
        <w:t xml:space="preserve">, we have participated in many meetings with the </w:t>
      </w:r>
      <w:r>
        <w:t>Ministry of Education</w:t>
      </w:r>
      <w:r w:rsidRPr="007B1BF1">
        <w:t xml:space="preserve"> in order to advocate for our I.B. Diploma students with respect to Ministry requirements.  This has resulted in the following policies as regards I.B. Diploma students:  </w:t>
      </w:r>
    </w:p>
    <w:p w14:paraId="1F86C76E" w14:textId="77777777" w:rsidR="003D711B" w:rsidRPr="007B1BF1" w:rsidRDefault="003D711B" w:rsidP="003D711B">
      <w:pPr>
        <w:pStyle w:val="NoSpacing"/>
        <w:numPr>
          <w:ilvl w:val="0"/>
          <w:numId w:val="3"/>
        </w:numPr>
      </w:pPr>
      <w:r w:rsidRPr="007B1BF1">
        <w:t xml:space="preserve">All grade 11 and 12 I.B. courses are awarded full credits (4) towards high school graduation.  (including </w:t>
      </w:r>
      <w:r>
        <w:t>TOK</w:t>
      </w:r>
      <w:r w:rsidRPr="007B1BF1">
        <w:t xml:space="preserve"> </w:t>
      </w:r>
      <w:r>
        <w:t>, CAS and Extended Essay</w:t>
      </w:r>
      <w:r w:rsidRPr="007B1BF1">
        <w:t>)</w:t>
      </w:r>
    </w:p>
    <w:p w14:paraId="109D94BD" w14:textId="12BE6EC1" w:rsidR="003D711B" w:rsidRPr="00C87AC9" w:rsidRDefault="00B75FBE" w:rsidP="003D711B">
      <w:pPr>
        <w:pStyle w:val="NoSpacing"/>
        <w:numPr>
          <w:ilvl w:val="0"/>
          <w:numId w:val="3"/>
        </w:numPr>
      </w:pPr>
      <w:r>
        <w:t>Career Life Education 12</w:t>
      </w:r>
      <w:r w:rsidR="003D711B" w:rsidRPr="00C87AC9">
        <w:t xml:space="preserve"> requirement </w:t>
      </w:r>
      <w:r>
        <w:t xml:space="preserve">may be partially </w:t>
      </w:r>
      <w:r w:rsidR="003D711B" w:rsidRPr="00C87AC9">
        <w:t xml:space="preserve">satisfied </w:t>
      </w:r>
      <w:r w:rsidR="00D71492" w:rsidRPr="00C87AC9">
        <w:t>through</w:t>
      </w:r>
      <w:r w:rsidR="003D711B" w:rsidRPr="00C87AC9">
        <w:t xml:space="preserve"> CAS.</w:t>
      </w:r>
    </w:p>
    <w:p w14:paraId="085FDEF8" w14:textId="697B6CFC" w:rsidR="003D711B" w:rsidRPr="007B1BF1" w:rsidRDefault="003D711B" w:rsidP="003D711B">
      <w:pPr>
        <w:pStyle w:val="NoSpacing"/>
        <w:numPr>
          <w:ilvl w:val="0"/>
          <w:numId w:val="3"/>
        </w:numPr>
      </w:pPr>
      <w:r w:rsidRPr="007B1BF1">
        <w:t xml:space="preserve">Fine Arts and Applied Skills requirements satisfied by completion </w:t>
      </w:r>
      <w:r>
        <w:t>CAS.</w:t>
      </w:r>
    </w:p>
    <w:p w14:paraId="60F98E6F" w14:textId="77777777" w:rsidR="00C62311" w:rsidRDefault="00C62311" w:rsidP="00E43C15">
      <w:pPr>
        <w:pStyle w:val="NoSpacing"/>
      </w:pPr>
    </w:p>
    <w:p w14:paraId="60DA16F5" w14:textId="77777777" w:rsidR="00C62311" w:rsidRDefault="00C62311" w:rsidP="00E43C15">
      <w:pPr>
        <w:pStyle w:val="NoSpacing"/>
      </w:pPr>
      <w:r>
        <w:t>Students may pursue a partial load of IB Diploma courses, and in this event they must satisfy all provincial graduation requirements and will not earn an IB Diploma.</w:t>
      </w:r>
    </w:p>
    <w:p w14:paraId="29AF9EA8" w14:textId="77777777" w:rsidR="00C62311" w:rsidRPr="00E43C15" w:rsidRDefault="00C62311" w:rsidP="00E43C15">
      <w:pPr>
        <w:pStyle w:val="NoSpacing"/>
      </w:pPr>
    </w:p>
    <w:p w14:paraId="51664ADA" w14:textId="77777777" w:rsidR="005559DA" w:rsidRPr="00C62311" w:rsidRDefault="005559DA" w:rsidP="00E43C15">
      <w:pPr>
        <w:pStyle w:val="NoSpacing"/>
        <w:rPr>
          <w:b/>
          <w:u w:val="single"/>
        </w:rPr>
      </w:pPr>
      <w:r w:rsidRPr="00C62311">
        <w:rPr>
          <w:b/>
          <w:u w:val="single"/>
        </w:rPr>
        <w:t>Reporting and Grading</w:t>
      </w:r>
    </w:p>
    <w:p w14:paraId="5C527365" w14:textId="77777777" w:rsidR="00E43C15" w:rsidRDefault="00E43C15" w:rsidP="00E43C15">
      <w:pPr>
        <w:pStyle w:val="NoSpacing"/>
      </w:pPr>
    </w:p>
    <w:p w14:paraId="6221E09A" w14:textId="53D2C735" w:rsidR="005559DA" w:rsidRDefault="005559DA" w:rsidP="00E43C15">
      <w:pPr>
        <w:pStyle w:val="NoSpacing"/>
      </w:pPr>
      <w:r w:rsidRPr="00E43C15">
        <w:t xml:space="preserve">At </w:t>
      </w:r>
      <w:r w:rsidR="00041B19">
        <w:t>Port Moody</w:t>
      </w:r>
      <w:r w:rsidRPr="00E43C15">
        <w:t xml:space="preserve">, reporting </w:t>
      </w:r>
      <w:r w:rsidR="00041B19">
        <w:t xml:space="preserve">to the Ministry of Education and to parents </w:t>
      </w:r>
      <w:r w:rsidRPr="00E43C15">
        <w:t xml:space="preserve">is </w:t>
      </w:r>
      <w:r w:rsidR="00041B19">
        <w:t xml:space="preserve">completed three times per semester, consisting of one informal report and two formal reports. </w:t>
      </w:r>
      <w:r w:rsidRPr="00E43C15">
        <w:t xml:space="preserve"> Formal reports will include letter grades, work habits, comments and attendance.  Course percentages will also be included for grade 10, 11, and 12 students.  Courses on a linear system</w:t>
      </w:r>
      <w:r w:rsidR="0085514B">
        <w:t xml:space="preserve"> (Grade 11 and 12 IB classes)</w:t>
      </w:r>
      <w:r w:rsidRPr="00E43C15">
        <w:t xml:space="preserve"> will be reported </w:t>
      </w:r>
      <w:r w:rsidR="00590BE7">
        <w:t xml:space="preserve">on </w:t>
      </w:r>
      <w:r w:rsidRPr="00E43C15">
        <w:t>during reporting periods 2, 3, 5 and 6.</w:t>
      </w:r>
    </w:p>
    <w:p w14:paraId="48B257E6" w14:textId="77777777" w:rsidR="00E43C15" w:rsidRPr="00E43C15" w:rsidRDefault="00E43C15" w:rsidP="00E43C15">
      <w:pPr>
        <w:pStyle w:val="NoSpacing"/>
      </w:pPr>
    </w:p>
    <w:p w14:paraId="7CE2F83B" w14:textId="77777777" w:rsidR="005559DA" w:rsidRPr="007B1BF1" w:rsidRDefault="005559DA" w:rsidP="00B4784C">
      <w:pPr>
        <w:widowControl w:val="0"/>
        <w:ind w:left="144" w:right="144"/>
        <w:jc w:val="both"/>
        <w:rPr>
          <w:rFonts w:ascii="Arial" w:hAnsi="Arial" w:cs="Arial"/>
          <w:sz w:val="10"/>
          <w:szCs w:val="10"/>
        </w:rPr>
      </w:pPr>
      <w:r w:rsidRPr="007B1BF1">
        <w:rPr>
          <w:rFonts w:ascii="Arial" w:hAnsi="Arial" w:cs="Arial"/>
          <w:sz w:val="10"/>
          <w:szCs w:val="10"/>
        </w:rPr>
        <w:t> </w:t>
      </w:r>
      <w:r w:rsidRPr="007B1BF1">
        <w:rPr>
          <w:rFonts w:ascii="Arial" w:hAnsi="Arial" w:cs="Arial"/>
          <w:sz w:val="18"/>
          <w:szCs w:val="18"/>
          <w:u w:val="single"/>
        </w:rPr>
        <w:t>Achievement</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u w:val="single"/>
        </w:rPr>
        <w:t>Gr. Point</w:t>
      </w:r>
      <w:r w:rsidRPr="007B1BF1">
        <w:rPr>
          <w:rFonts w:ascii="Arial" w:hAnsi="Arial" w:cs="Arial"/>
          <w:sz w:val="18"/>
          <w:szCs w:val="18"/>
        </w:rPr>
        <w:tab/>
      </w:r>
      <w:r w:rsidR="00E43C15">
        <w:rPr>
          <w:rFonts w:ascii="Arial" w:hAnsi="Arial" w:cs="Arial"/>
          <w:sz w:val="18"/>
          <w:szCs w:val="18"/>
        </w:rPr>
        <w:tab/>
      </w:r>
      <w:r w:rsidRPr="007B1BF1">
        <w:rPr>
          <w:rFonts w:ascii="Arial" w:hAnsi="Arial" w:cs="Arial"/>
          <w:sz w:val="18"/>
          <w:szCs w:val="18"/>
          <w:u w:val="single"/>
        </w:rPr>
        <w:t>Percentage</w:t>
      </w:r>
    </w:p>
    <w:p w14:paraId="2A59DBEE" w14:textId="77777777" w:rsidR="005559DA" w:rsidRPr="007B1BF1" w:rsidRDefault="005559DA" w:rsidP="00B4784C">
      <w:pPr>
        <w:widowControl w:val="0"/>
        <w:spacing w:after="0"/>
        <w:ind w:left="144" w:right="144"/>
        <w:jc w:val="both"/>
        <w:rPr>
          <w:rFonts w:ascii="Arial" w:hAnsi="Arial" w:cs="Arial"/>
          <w:sz w:val="18"/>
          <w:szCs w:val="18"/>
        </w:rPr>
      </w:pPr>
      <w:r w:rsidRPr="007B1BF1">
        <w:rPr>
          <w:rFonts w:ascii="Arial" w:hAnsi="Arial" w:cs="Arial"/>
          <w:sz w:val="18"/>
          <w:szCs w:val="18"/>
        </w:rPr>
        <w:t>A   (excellent)</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4.00</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86 - 100</w:t>
      </w:r>
    </w:p>
    <w:p w14:paraId="545713E6" w14:textId="77777777" w:rsidR="005559DA" w:rsidRPr="007B1BF1" w:rsidRDefault="005559DA" w:rsidP="00B4784C">
      <w:pPr>
        <w:widowControl w:val="0"/>
        <w:spacing w:after="0"/>
        <w:ind w:left="144" w:right="144"/>
        <w:jc w:val="both"/>
        <w:rPr>
          <w:rFonts w:ascii="Arial" w:hAnsi="Arial" w:cs="Arial"/>
          <w:sz w:val="18"/>
          <w:szCs w:val="18"/>
        </w:rPr>
      </w:pPr>
      <w:r w:rsidRPr="007B1BF1">
        <w:rPr>
          <w:rFonts w:ascii="Arial" w:hAnsi="Arial" w:cs="Arial"/>
          <w:sz w:val="18"/>
          <w:szCs w:val="18"/>
        </w:rPr>
        <w:t>B   (very good)</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3.00</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73 - 85</w:t>
      </w:r>
    </w:p>
    <w:p w14:paraId="2BA3419D" w14:textId="77777777" w:rsidR="005559DA" w:rsidRPr="007B1BF1" w:rsidRDefault="005559DA" w:rsidP="00B4784C">
      <w:pPr>
        <w:widowControl w:val="0"/>
        <w:spacing w:after="0"/>
        <w:ind w:left="144" w:right="144"/>
        <w:jc w:val="both"/>
        <w:rPr>
          <w:rFonts w:ascii="Arial" w:hAnsi="Arial" w:cs="Arial"/>
          <w:sz w:val="18"/>
          <w:szCs w:val="18"/>
        </w:rPr>
      </w:pPr>
      <w:r w:rsidRPr="007B1BF1">
        <w:rPr>
          <w:rFonts w:ascii="Arial" w:hAnsi="Arial" w:cs="Arial"/>
          <w:sz w:val="18"/>
          <w:szCs w:val="18"/>
        </w:rPr>
        <w:lastRenderedPageBreak/>
        <w:t>C+ (satisfactory)</w:t>
      </w:r>
      <w:r w:rsidRPr="007B1BF1">
        <w:rPr>
          <w:rFonts w:ascii="Arial" w:hAnsi="Arial" w:cs="Arial"/>
          <w:sz w:val="18"/>
          <w:szCs w:val="18"/>
        </w:rPr>
        <w:tab/>
        <w:t>2.50</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67 - 72</w:t>
      </w:r>
    </w:p>
    <w:p w14:paraId="3118DC75" w14:textId="77777777" w:rsidR="005559DA" w:rsidRPr="007B1BF1" w:rsidRDefault="005559DA" w:rsidP="00B4784C">
      <w:pPr>
        <w:widowControl w:val="0"/>
        <w:spacing w:after="0"/>
        <w:ind w:left="144" w:right="144"/>
        <w:jc w:val="both"/>
        <w:rPr>
          <w:rFonts w:ascii="Arial" w:hAnsi="Arial" w:cs="Arial"/>
          <w:sz w:val="18"/>
          <w:szCs w:val="18"/>
        </w:rPr>
      </w:pPr>
      <w:proofErr w:type="gramStart"/>
      <w:r w:rsidRPr="007B1BF1">
        <w:rPr>
          <w:rFonts w:ascii="Arial" w:hAnsi="Arial" w:cs="Arial"/>
          <w:sz w:val="18"/>
          <w:szCs w:val="18"/>
        </w:rPr>
        <w:t>C  (</w:t>
      </w:r>
      <w:proofErr w:type="gramEnd"/>
      <w:r w:rsidRPr="007B1BF1">
        <w:rPr>
          <w:rFonts w:ascii="Arial" w:hAnsi="Arial" w:cs="Arial"/>
          <w:sz w:val="18"/>
          <w:szCs w:val="18"/>
        </w:rPr>
        <w:t>satisfactory)</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2.00</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60 - 66</w:t>
      </w:r>
    </w:p>
    <w:p w14:paraId="21CE45BA" w14:textId="77777777" w:rsidR="005559DA" w:rsidRPr="007B1BF1" w:rsidRDefault="005559DA" w:rsidP="00B4784C">
      <w:pPr>
        <w:widowControl w:val="0"/>
        <w:spacing w:after="0"/>
        <w:ind w:left="144" w:right="144"/>
        <w:jc w:val="both"/>
        <w:rPr>
          <w:rFonts w:ascii="Arial" w:hAnsi="Arial" w:cs="Arial"/>
          <w:sz w:val="18"/>
          <w:szCs w:val="18"/>
        </w:rPr>
      </w:pPr>
      <w:r w:rsidRPr="007B1BF1">
        <w:rPr>
          <w:rFonts w:ascii="Arial" w:hAnsi="Arial" w:cs="Arial"/>
          <w:sz w:val="18"/>
          <w:szCs w:val="18"/>
        </w:rPr>
        <w:t>C- (satisfactory)</w:t>
      </w:r>
      <w:r w:rsidRPr="007B1BF1">
        <w:rPr>
          <w:rFonts w:ascii="Arial" w:hAnsi="Arial" w:cs="Arial"/>
          <w:sz w:val="18"/>
          <w:szCs w:val="18"/>
        </w:rPr>
        <w:tab/>
      </w:r>
      <w:r w:rsidR="00F57A61">
        <w:rPr>
          <w:rFonts w:ascii="Arial" w:hAnsi="Arial" w:cs="Arial"/>
          <w:sz w:val="18"/>
          <w:szCs w:val="18"/>
        </w:rPr>
        <w:tab/>
      </w:r>
      <w:r w:rsidRPr="007B1BF1">
        <w:rPr>
          <w:rFonts w:ascii="Arial" w:hAnsi="Arial" w:cs="Arial"/>
          <w:sz w:val="18"/>
          <w:szCs w:val="18"/>
        </w:rPr>
        <w:t>1.00</w:t>
      </w:r>
      <w:r w:rsidR="00B4784C" w:rsidRPr="007B1BF1">
        <w:rPr>
          <w:rFonts w:ascii="Arial" w:hAnsi="Arial" w:cs="Arial"/>
          <w:sz w:val="18"/>
          <w:szCs w:val="18"/>
        </w:rPr>
        <w:tab/>
      </w:r>
      <w:r w:rsidR="00E43C15">
        <w:rPr>
          <w:rFonts w:ascii="Arial" w:hAnsi="Arial" w:cs="Arial"/>
          <w:sz w:val="18"/>
          <w:szCs w:val="18"/>
        </w:rPr>
        <w:tab/>
      </w:r>
      <w:r w:rsidRPr="007B1BF1">
        <w:rPr>
          <w:rFonts w:ascii="Arial" w:hAnsi="Arial" w:cs="Arial"/>
          <w:sz w:val="18"/>
          <w:szCs w:val="18"/>
        </w:rPr>
        <w:t>50 - 59</w:t>
      </w:r>
    </w:p>
    <w:p w14:paraId="0155C684" w14:textId="77777777" w:rsidR="005559DA" w:rsidRPr="007B1BF1" w:rsidRDefault="005559DA" w:rsidP="00B4784C">
      <w:pPr>
        <w:widowControl w:val="0"/>
        <w:spacing w:after="0"/>
        <w:ind w:left="144" w:right="144"/>
        <w:jc w:val="both"/>
        <w:rPr>
          <w:rFonts w:ascii="Arial" w:hAnsi="Arial" w:cs="Arial"/>
          <w:sz w:val="18"/>
          <w:szCs w:val="18"/>
        </w:rPr>
      </w:pPr>
      <w:r w:rsidRPr="007B1BF1">
        <w:rPr>
          <w:rFonts w:ascii="Arial" w:hAnsi="Arial" w:cs="Arial"/>
          <w:sz w:val="18"/>
          <w:szCs w:val="18"/>
        </w:rPr>
        <w:t>I   (incomplete)</w:t>
      </w:r>
      <w:r w:rsidRPr="007B1BF1">
        <w:rPr>
          <w:rFonts w:ascii="Arial" w:hAnsi="Arial" w:cs="Arial"/>
          <w:sz w:val="18"/>
          <w:szCs w:val="18"/>
        </w:rPr>
        <w:tab/>
      </w:r>
    </w:p>
    <w:p w14:paraId="52AD768A" w14:textId="77777777" w:rsidR="005559DA" w:rsidRPr="007B1BF1" w:rsidRDefault="005559DA" w:rsidP="005559DA">
      <w:pPr>
        <w:widowControl w:val="0"/>
        <w:ind w:left="144" w:right="144"/>
        <w:jc w:val="both"/>
        <w:rPr>
          <w:rFonts w:ascii="Arial" w:hAnsi="Arial" w:cs="Arial"/>
          <w:sz w:val="18"/>
          <w:szCs w:val="18"/>
        </w:rPr>
      </w:pPr>
      <w:proofErr w:type="gramStart"/>
      <w:r w:rsidRPr="007B1BF1">
        <w:rPr>
          <w:rFonts w:ascii="Arial" w:hAnsi="Arial" w:cs="Arial"/>
          <w:sz w:val="18"/>
          <w:szCs w:val="18"/>
        </w:rPr>
        <w:t>F  (</w:t>
      </w:r>
      <w:proofErr w:type="gramEnd"/>
      <w:r w:rsidRPr="007B1BF1">
        <w:rPr>
          <w:rFonts w:ascii="Arial" w:hAnsi="Arial" w:cs="Arial"/>
          <w:sz w:val="18"/>
          <w:szCs w:val="18"/>
        </w:rPr>
        <w:t>failing grade)</w:t>
      </w:r>
      <w:r w:rsidRPr="007B1BF1">
        <w:rPr>
          <w:rFonts w:ascii="Arial" w:hAnsi="Arial" w:cs="Arial"/>
          <w:sz w:val="18"/>
          <w:szCs w:val="18"/>
        </w:rPr>
        <w:tab/>
        <w:t>0.00</w:t>
      </w:r>
      <w:r w:rsidRPr="007B1BF1">
        <w:rPr>
          <w:rFonts w:ascii="Arial" w:hAnsi="Arial" w:cs="Arial"/>
          <w:sz w:val="18"/>
          <w:szCs w:val="18"/>
        </w:rPr>
        <w:tab/>
      </w:r>
      <w:r w:rsidR="00B4784C" w:rsidRPr="007B1BF1">
        <w:rPr>
          <w:rFonts w:ascii="Arial" w:hAnsi="Arial" w:cs="Arial"/>
          <w:sz w:val="18"/>
          <w:szCs w:val="18"/>
        </w:rPr>
        <w:tab/>
      </w:r>
      <w:r w:rsidRPr="007B1BF1">
        <w:rPr>
          <w:rFonts w:ascii="Arial" w:hAnsi="Arial" w:cs="Arial"/>
          <w:sz w:val="18"/>
          <w:szCs w:val="18"/>
        </w:rPr>
        <w:t>0 - 49</w:t>
      </w:r>
    </w:p>
    <w:p w14:paraId="63A97C00" w14:textId="77777777" w:rsidR="005559DA" w:rsidRPr="007B1BF1" w:rsidRDefault="005559DA" w:rsidP="005559DA">
      <w:pPr>
        <w:widowControl w:val="0"/>
        <w:ind w:left="144" w:right="144"/>
        <w:jc w:val="both"/>
        <w:rPr>
          <w:rFonts w:ascii="Arial" w:hAnsi="Arial" w:cs="Arial"/>
          <w:sz w:val="14"/>
          <w:szCs w:val="14"/>
        </w:rPr>
      </w:pPr>
      <w:r w:rsidRPr="007B1BF1">
        <w:rPr>
          <w:rFonts w:ascii="Arial" w:hAnsi="Arial" w:cs="Arial"/>
          <w:sz w:val="14"/>
          <w:szCs w:val="14"/>
        </w:rPr>
        <w:t> </w:t>
      </w:r>
    </w:p>
    <w:p w14:paraId="3E7ADA72" w14:textId="73473BF7" w:rsidR="005634C5" w:rsidRDefault="005634C5" w:rsidP="00E43C15">
      <w:pPr>
        <w:pStyle w:val="NoSpacing"/>
      </w:pPr>
      <w:r w:rsidRPr="007B1BF1">
        <w:t>Given that I.B. students</w:t>
      </w:r>
      <w:r w:rsidR="00590BE7">
        <w:t>, whether full diploma or partial courses,</w:t>
      </w:r>
      <w:r w:rsidRPr="007B1BF1">
        <w:t xml:space="preserve"> undertake a programme of study that is </w:t>
      </w:r>
      <w:r w:rsidR="00590BE7">
        <w:t xml:space="preserve">often </w:t>
      </w:r>
      <w:r w:rsidRPr="007B1BF1">
        <w:t xml:space="preserve">more demanding and certainly more time-consuming than </w:t>
      </w:r>
      <w:r w:rsidR="00590BE7">
        <w:t>Dogwood</w:t>
      </w:r>
      <w:r w:rsidR="00F3263D" w:rsidRPr="007B1BF1">
        <w:t xml:space="preserve"> program students, an</w:t>
      </w:r>
      <w:r w:rsidRPr="007B1BF1">
        <w:t xml:space="preserve"> adjustment factor is included in the calculations of students’ percentage marks</w:t>
      </w:r>
      <w:r w:rsidR="00F3263D" w:rsidRPr="007B1BF1">
        <w:t xml:space="preserve">. This is done with a view to ensure that I.B. students (especially in grades 11 and 12) are not penalized for undertaking a more demanding programme of studies.  While this </w:t>
      </w:r>
      <w:r w:rsidR="0085514B">
        <w:t>is of</w:t>
      </w:r>
      <w:r w:rsidR="00F3263D" w:rsidRPr="007B1BF1">
        <w:t xml:space="preserve"> lesser importance for grades 9, students in grades 10-12 must compete for scholarship money and admission to university based on percentage equivalents in many cases.  Parents are especially mindful of this fact and we must compensate for the increased difficulty inherent to I.B. (especially in HL courses).</w:t>
      </w:r>
    </w:p>
    <w:p w14:paraId="0A1B265A" w14:textId="77777777" w:rsidR="003D711B" w:rsidRDefault="003D711B" w:rsidP="00E43C15">
      <w:pPr>
        <w:pStyle w:val="NoSpacing"/>
      </w:pPr>
    </w:p>
    <w:p w14:paraId="0F87F7A9" w14:textId="0276C5B1" w:rsidR="009072C7" w:rsidRDefault="003D711B" w:rsidP="00E43C15">
      <w:pPr>
        <w:pStyle w:val="NoSpacing"/>
      </w:pPr>
      <w:r>
        <w:t xml:space="preserve">In accordance with the other public secondary school members of the British Columbia Association of IB World Schools, we will report on student progress in the IB diploma courses in terms of an </w:t>
      </w:r>
      <w:r w:rsidRPr="00FF5EA1">
        <w:rPr>
          <w:b/>
          <w:bCs/>
        </w:rPr>
        <w:t>anticipated</w:t>
      </w:r>
      <w:r>
        <w:t xml:space="preserve"> </w:t>
      </w:r>
      <w:r w:rsidR="00FF5EA1" w:rsidRPr="00FF5EA1">
        <w:rPr>
          <w:b/>
          <w:bCs/>
        </w:rPr>
        <w:t>grade</w:t>
      </w:r>
      <w:r w:rsidR="00FF5EA1">
        <w:t xml:space="preserve"> </w:t>
      </w:r>
      <w:r>
        <w:t>on the IB scale of 1 to 7, a corresponding percentage and letter grade as per the table of equivalencies as determined by UBC, and work habits.</w:t>
      </w:r>
    </w:p>
    <w:p w14:paraId="6E34D0DA" w14:textId="77777777" w:rsidR="003D711B" w:rsidRDefault="003D711B" w:rsidP="00E43C15">
      <w:pPr>
        <w:pStyle w:val="NoSpacing"/>
      </w:pPr>
    </w:p>
    <w:tbl>
      <w:tblPr>
        <w:tblStyle w:val="TableGrid"/>
        <w:tblW w:w="0" w:type="auto"/>
        <w:tblLook w:val="04A0" w:firstRow="1" w:lastRow="0" w:firstColumn="1" w:lastColumn="0" w:noHBand="0" w:noVBand="1"/>
      </w:tblPr>
      <w:tblGrid>
        <w:gridCol w:w="3116"/>
        <w:gridCol w:w="3117"/>
        <w:gridCol w:w="3117"/>
      </w:tblGrid>
      <w:tr w:rsidR="00FF5EA1" w:rsidRPr="00D03558" w14:paraId="637F7AD3" w14:textId="77777777" w:rsidTr="00B37191">
        <w:trPr>
          <w:trHeight w:val="547"/>
        </w:trPr>
        <w:tc>
          <w:tcPr>
            <w:tcW w:w="3116" w:type="dxa"/>
          </w:tcPr>
          <w:p w14:paraId="526CA5FF" w14:textId="77777777" w:rsidR="00FF5EA1" w:rsidRPr="00D03558" w:rsidRDefault="00FF5EA1" w:rsidP="005B392A">
            <w:pPr>
              <w:pStyle w:val="NoSpacing"/>
            </w:pPr>
            <w:r w:rsidRPr="00D03558">
              <w:rPr>
                <w:u w:val="single"/>
              </w:rPr>
              <w:t>IB Anticipated/Predicted Grade</w:t>
            </w:r>
          </w:p>
        </w:tc>
        <w:tc>
          <w:tcPr>
            <w:tcW w:w="3117" w:type="dxa"/>
          </w:tcPr>
          <w:p w14:paraId="587B4E2B" w14:textId="7D128163" w:rsidR="00FF5EA1" w:rsidRPr="00D03558" w:rsidRDefault="00F65B03" w:rsidP="005B392A">
            <w:pPr>
              <w:pStyle w:val="NoSpacing"/>
            </w:pPr>
            <w:r>
              <w:t>Standard</w:t>
            </w:r>
            <w:r w:rsidR="00FF5EA1" w:rsidRPr="00D03558">
              <w:t xml:space="preserve"> Level Class</w:t>
            </w:r>
          </w:p>
          <w:p w14:paraId="2D290D04" w14:textId="0D729FE4" w:rsidR="00FF5EA1" w:rsidRPr="00D03558" w:rsidRDefault="00FF5EA1" w:rsidP="005B392A">
            <w:pPr>
              <w:pStyle w:val="NoSpacing"/>
            </w:pPr>
            <w:r w:rsidRPr="00D03558">
              <w:rPr>
                <w:u w:val="single"/>
              </w:rPr>
              <w:t>Range of Equivalent %</w:t>
            </w:r>
          </w:p>
        </w:tc>
        <w:tc>
          <w:tcPr>
            <w:tcW w:w="3117" w:type="dxa"/>
          </w:tcPr>
          <w:p w14:paraId="01320D8B" w14:textId="55B9CEB2" w:rsidR="00FF5EA1" w:rsidRPr="00D03558" w:rsidRDefault="00F65B03" w:rsidP="005B392A">
            <w:pPr>
              <w:pStyle w:val="NoSpacing"/>
            </w:pPr>
            <w:r>
              <w:t>Higher</w:t>
            </w:r>
            <w:r w:rsidR="00FF5EA1" w:rsidRPr="00D03558">
              <w:t xml:space="preserve"> Level Class</w:t>
            </w:r>
          </w:p>
          <w:p w14:paraId="1AE52314" w14:textId="783E495C" w:rsidR="00FF5EA1" w:rsidRPr="00D03558" w:rsidRDefault="00FF5EA1" w:rsidP="005B392A">
            <w:pPr>
              <w:pStyle w:val="NoSpacing"/>
            </w:pPr>
            <w:r w:rsidRPr="00D03558">
              <w:rPr>
                <w:u w:val="single"/>
              </w:rPr>
              <w:t>Range of Equivalent %</w:t>
            </w:r>
          </w:p>
        </w:tc>
      </w:tr>
      <w:tr w:rsidR="00D03558" w:rsidRPr="00D03558" w14:paraId="56BC129A" w14:textId="77777777" w:rsidTr="00D03558">
        <w:trPr>
          <w:trHeight w:val="463"/>
        </w:trPr>
        <w:tc>
          <w:tcPr>
            <w:tcW w:w="3116" w:type="dxa"/>
          </w:tcPr>
          <w:p w14:paraId="242FF893" w14:textId="08012A60" w:rsidR="00D03558" w:rsidRPr="00D03558" w:rsidRDefault="00D03558" w:rsidP="005B392A">
            <w:pPr>
              <w:pStyle w:val="NoSpacing"/>
            </w:pPr>
            <w:r w:rsidRPr="00D03558">
              <w:t>1</w:t>
            </w:r>
          </w:p>
        </w:tc>
        <w:tc>
          <w:tcPr>
            <w:tcW w:w="3117" w:type="dxa"/>
          </w:tcPr>
          <w:p w14:paraId="5F5FDF2A" w14:textId="76861FB8" w:rsidR="00D03558" w:rsidRPr="00D03558" w:rsidRDefault="00D03558" w:rsidP="005B392A">
            <w:pPr>
              <w:pStyle w:val="NoSpacing"/>
            </w:pPr>
            <w:r w:rsidRPr="00D03558">
              <w:t>0-49%</w:t>
            </w:r>
          </w:p>
        </w:tc>
        <w:tc>
          <w:tcPr>
            <w:tcW w:w="3117" w:type="dxa"/>
          </w:tcPr>
          <w:p w14:paraId="7C013E33" w14:textId="3AC2392A" w:rsidR="00D03558" w:rsidRPr="00D03558" w:rsidRDefault="00D03558" w:rsidP="005B392A">
            <w:pPr>
              <w:pStyle w:val="NoSpacing"/>
              <w:rPr>
                <w:u w:val="single"/>
              </w:rPr>
            </w:pPr>
            <w:r w:rsidRPr="00D03558">
              <w:t>0-49% (69%)</w:t>
            </w:r>
          </w:p>
        </w:tc>
      </w:tr>
      <w:tr w:rsidR="00D03558" w:rsidRPr="00D03558" w14:paraId="51F57821" w14:textId="77777777" w:rsidTr="00D03558">
        <w:trPr>
          <w:trHeight w:val="414"/>
        </w:trPr>
        <w:tc>
          <w:tcPr>
            <w:tcW w:w="3116" w:type="dxa"/>
          </w:tcPr>
          <w:p w14:paraId="124C5FE9" w14:textId="77777777" w:rsidR="00D03558" w:rsidRPr="00D03558" w:rsidRDefault="00D03558" w:rsidP="005B392A">
            <w:pPr>
              <w:pStyle w:val="NoSpacing"/>
            </w:pPr>
            <w:r w:rsidRPr="00D03558">
              <w:t>2</w:t>
            </w:r>
          </w:p>
        </w:tc>
        <w:tc>
          <w:tcPr>
            <w:tcW w:w="3117" w:type="dxa"/>
          </w:tcPr>
          <w:p w14:paraId="1708350E" w14:textId="3B62BFF3" w:rsidR="00D03558" w:rsidRPr="00D03558" w:rsidRDefault="00D03558" w:rsidP="005B392A">
            <w:pPr>
              <w:pStyle w:val="NoSpacing"/>
            </w:pPr>
            <w:r w:rsidRPr="00D03558">
              <w:t>50-69%</w:t>
            </w:r>
          </w:p>
        </w:tc>
        <w:tc>
          <w:tcPr>
            <w:tcW w:w="3117" w:type="dxa"/>
          </w:tcPr>
          <w:p w14:paraId="30E81189" w14:textId="1133D70F" w:rsidR="00D03558" w:rsidRPr="00D03558" w:rsidRDefault="00D03558" w:rsidP="005B392A">
            <w:pPr>
              <w:pStyle w:val="NoSpacing"/>
            </w:pPr>
            <w:r w:rsidRPr="00D03558">
              <w:t>70-75%</w:t>
            </w:r>
          </w:p>
        </w:tc>
      </w:tr>
      <w:tr w:rsidR="00D03558" w:rsidRPr="00D03558" w14:paraId="09D373E7" w14:textId="77777777" w:rsidTr="00D03558">
        <w:trPr>
          <w:trHeight w:val="419"/>
        </w:trPr>
        <w:tc>
          <w:tcPr>
            <w:tcW w:w="3116" w:type="dxa"/>
          </w:tcPr>
          <w:p w14:paraId="4BD1F839" w14:textId="77777777" w:rsidR="00D03558" w:rsidRPr="00D03558" w:rsidRDefault="00D03558" w:rsidP="005B392A">
            <w:pPr>
              <w:pStyle w:val="NoSpacing"/>
            </w:pPr>
            <w:r w:rsidRPr="00D03558">
              <w:t>3</w:t>
            </w:r>
          </w:p>
        </w:tc>
        <w:tc>
          <w:tcPr>
            <w:tcW w:w="3117" w:type="dxa"/>
          </w:tcPr>
          <w:p w14:paraId="512C8EFA" w14:textId="21A9EB22" w:rsidR="00D03558" w:rsidRPr="00D03558" w:rsidRDefault="00D03558" w:rsidP="005B392A">
            <w:pPr>
              <w:pStyle w:val="NoSpacing"/>
            </w:pPr>
            <w:r w:rsidRPr="00D03558">
              <w:t>70-75%</w:t>
            </w:r>
          </w:p>
        </w:tc>
        <w:tc>
          <w:tcPr>
            <w:tcW w:w="3117" w:type="dxa"/>
          </w:tcPr>
          <w:p w14:paraId="3575F8B8" w14:textId="4453AB37" w:rsidR="00D03558" w:rsidRPr="00D03558" w:rsidRDefault="00D03558" w:rsidP="005B392A">
            <w:pPr>
              <w:pStyle w:val="NoSpacing"/>
            </w:pPr>
            <w:r w:rsidRPr="00D03558">
              <w:t>76-85%</w:t>
            </w:r>
          </w:p>
        </w:tc>
      </w:tr>
      <w:tr w:rsidR="00D03558" w:rsidRPr="00D03558" w14:paraId="07CF290E" w14:textId="77777777" w:rsidTr="00D03558">
        <w:trPr>
          <w:trHeight w:val="411"/>
        </w:trPr>
        <w:tc>
          <w:tcPr>
            <w:tcW w:w="3116" w:type="dxa"/>
          </w:tcPr>
          <w:p w14:paraId="6540F300" w14:textId="77777777" w:rsidR="00D03558" w:rsidRPr="00D03558" w:rsidRDefault="00D03558" w:rsidP="005B392A">
            <w:pPr>
              <w:pStyle w:val="NoSpacing"/>
            </w:pPr>
            <w:r w:rsidRPr="00D03558">
              <w:t>4</w:t>
            </w:r>
          </w:p>
        </w:tc>
        <w:tc>
          <w:tcPr>
            <w:tcW w:w="3117" w:type="dxa"/>
          </w:tcPr>
          <w:p w14:paraId="07B73526" w14:textId="150D61EA" w:rsidR="00D03558" w:rsidRPr="00D03558" w:rsidRDefault="00D03558" w:rsidP="005B392A">
            <w:pPr>
              <w:pStyle w:val="NoSpacing"/>
            </w:pPr>
            <w:r w:rsidRPr="00D03558">
              <w:t>76-85%</w:t>
            </w:r>
          </w:p>
        </w:tc>
        <w:tc>
          <w:tcPr>
            <w:tcW w:w="3117" w:type="dxa"/>
          </w:tcPr>
          <w:p w14:paraId="1A7EA6BC" w14:textId="7E584C19" w:rsidR="00D03558" w:rsidRPr="00D03558" w:rsidRDefault="00D03558" w:rsidP="005B392A">
            <w:pPr>
              <w:pStyle w:val="NoSpacing"/>
            </w:pPr>
            <w:r w:rsidRPr="00D03558">
              <w:t>86-89%</w:t>
            </w:r>
          </w:p>
        </w:tc>
      </w:tr>
      <w:tr w:rsidR="00D03558" w:rsidRPr="00D03558" w14:paraId="05DB1502" w14:textId="77777777" w:rsidTr="00D03558">
        <w:trPr>
          <w:trHeight w:val="416"/>
        </w:trPr>
        <w:tc>
          <w:tcPr>
            <w:tcW w:w="3116" w:type="dxa"/>
          </w:tcPr>
          <w:p w14:paraId="105FEC68" w14:textId="77777777" w:rsidR="00D03558" w:rsidRPr="00D03558" w:rsidRDefault="00D03558" w:rsidP="005B392A">
            <w:pPr>
              <w:pStyle w:val="NoSpacing"/>
            </w:pPr>
            <w:r w:rsidRPr="00D03558">
              <w:t>5</w:t>
            </w:r>
          </w:p>
        </w:tc>
        <w:tc>
          <w:tcPr>
            <w:tcW w:w="3117" w:type="dxa"/>
          </w:tcPr>
          <w:p w14:paraId="4AFD1BA9" w14:textId="3A745503" w:rsidR="00D03558" w:rsidRPr="00D03558" w:rsidRDefault="00D03558" w:rsidP="005B392A">
            <w:pPr>
              <w:pStyle w:val="NoSpacing"/>
            </w:pPr>
            <w:r w:rsidRPr="00D03558">
              <w:t>86-89%</w:t>
            </w:r>
          </w:p>
        </w:tc>
        <w:tc>
          <w:tcPr>
            <w:tcW w:w="3117" w:type="dxa"/>
          </w:tcPr>
          <w:p w14:paraId="6B1AFFFA" w14:textId="2CD45668" w:rsidR="00D03558" w:rsidRPr="00D03558" w:rsidRDefault="00D03558" w:rsidP="005B392A">
            <w:pPr>
              <w:pStyle w:val="NoSpacing"/>
            </w:pPr>
            <w:r w:rsidRPr="00D03558">
              <w:t>90-95%</w:t>
            </w:r>
          </w:p>
        </w:tc>
      </w:tr>
      <w:tr w:rsidR="00D03558" w:rsidRPr="00D03558" w14:paraId="65ABFF7E" w14:textId="77777777" w:rsidTr="00D03558">
        <w:trPr>
          <w:trHeight w:val="423"/>
        </w:trPr>
        <w:tc>
          <w:tcPr>
            <w:tcW w:w="3116" w:type="dxa"/>
          </w:tcPr>
          <w:p w14:paraId="1455E98A" w14:textId="77777777" w:rsidR="00D03558" w:rsidRPr="00D03558" w:rsidRDefault="00D03558" w:rsidP="005B392A">
            <w:pPr>
              <w:pStyle w:val="NoSpacing"/>
            </w:pPr>
            <w:r w:rsidRPr="00D03558">
              <w:t>6</w:t>
            </w:r>
          </w:p>
        </w:tc>
        <w:tc>
          <w:tcPr>
            <w:tcW w:w="3117" w:type="dxa"/>
          </w:tcPr>
          <w:p w14:paraId="3EECFE4B" w14:textId="03B89149" w:rsidR="00D03558" w:rsidRPr="00D03558" w:rsidRDefault="00D03558" w:rsidP="005B392A">
            <w:pPr>
              <w:pStyle w:val="NoSpacing"/>
            </w:pPr>
            <w:r w:rsidRPr="00D03558">
              <w:t>90-95%</w:t>
            </w:r>
          </w:p>
        </w:tc>
        <w:tc>
          <w:tcPr>
            <w:tcW w:w="3117" w:type="dxa"/>
          </w:tcPr>
          <w:p w14:paraId="24E44EB3" w14:textId="04A16B92" w:rsidR="00D03558" w:rsidRPr="00D03558" w:rsidRDefault="00D03558" w:rsidP="005B392A">
            <w:pPr>
              <w:pStyle w:val="NoSpacing"/>
            </w:pPr>
            <w:r w:rsidRPr="00D03558">
              <w:t>96-97%</w:t>
            </w:r>
          </w:p>
        </w:tc>
      </w:tr>
      <w:tr w:rsidR="00D03558" w:rsidRPr="00D03558" w14:paraId="497B94AA" w14:textId="77777777" w:rsidTr="00D03558">
        <w:trPr>
          <w:trHeight w:val="415"/>
        </w:trPr>
        <w:tc>
          <w:tcPr>
            <w:tcW w:w="3116" w:type="dxa"/>
          </w:tcPr>
          <w:p w14:paraId="5B3699AE" w14:textId="77777777" w:rsidR="00D03558" w:rsidRPr="00D03558" w:rsidRDefault="00D03558" w:rsidP="005B392A">
            <w:pPr>
              <w:pStyle w:val="NoSpacing"/>
            </w:pPr>
            <w:r w:rsidRPr="00D03558">
              <w:t>7</w:t>
            </w:r>
          </w:p>
        </w:tc>
        <w:tc>
          <w:tcPr>
            <w:tcW w:w="3117" w:type="dxa"/>
          </w:tcPr>
          <w:p w14:paraId="58B28C9D" w14:textId="35E8C97E" w:rsidR="00D03558" w:rsidRPr="00D03558" w:rsidRDefault="00D03558" w:rsidP="005B392A">
            <w:pPr>
              <w:pStyle w:val="NoSpacing"/>
            </w:pPr>
            <w:r w:rsidRPr="00D03558">
              <w:t>96-100%</w:t>
            </w:r>
          </w:p>
        </w:tc>
        <w:tc>
          <w:tcPr>
            <w:tcW w:w="3117" w:type="dxa"/>
          </w:tcPr>
          <w:p w14:paraId="54C94C29" w14:textId="1FE89633" w:rsidR="00D03558" w:rsidRPr="00D03558" w:rsidRDefault="00D03558" w:rsidP="005B392A">
            <w:pPr>
              <w:pStyle w:val="NoSpacing"/>
            </w:pPr>
            <w:r w:rsidRPr="00D03558">
              <w:t>98-100%</w:t>
            </w:r>
          </w:p>
        </w:tc>
      </w:tr>
    </w:tbl>
    <w:p w14:paraId="17BD22F6" w14:textId="77777777" w:rsidR="003D711B" w:rsidRPr="007B1BF1" w:rsidRDefault="003D711B" w:rsidP="00E43C15">
      <w:pPr>
        <w:pStyle w:val="NoSpacing"/>
      </w:pPr>
    </w:p>
    <w:p w14:paraId="4DF2ECF1" w14:textId="77777777" w:rsidR="009072C7" w:rsidRDefault="009072C7" w:rsidP="00E43C15">
      <w:pPr>
        <w:pStyle w:val="NoSpacing"/>
        <w:rPr>
          <w:b/>
          <w:sz w:val="24"/>
          <w:szCs w:val="24"/>
          <w:u w:val="single"/>
        </w:rPr>
      </w:pPr>
    </w:p>
    <w:p w14:paraId="7B78AE84" w14:textId="77777777" w:rsidR="00F3263D" w:rsidRPr="007B1BF1" w:rsidRDefault="007B1BF1" w:rsidP="00E43C15">
      <w:pPr>
        <w:pStyle w:val="NoSpacing"/>
        <w:rPr>
          <w:b/>
          <w:sz w:val="24"/>
          <w:szCs w:val="24"/>
          <w:u w:val="single"/>
        </w:rPr>
      </w:pPr>
      <w:r w:rsidRPr="007B1BF1">
        <w:rPr>
          <w:b/>
          <w:sz w:val="24"/>
          <w:szCs w:val="24"/>
          <w:u w:val="single"/>
        </w:rPr>
        <w:t>University Applications</w:t>
      </w:r>
      <w:r w:rsidR="00F3263D" w:rsidRPr="007B1BF1">
        <w:rPr>
          <w:b/>
          <w:sz w:val="24"/>
          <w:szCs w:val="24"/>
          <w:u w:val="single"/>
        </w:rPr>
        <w:t xml:space="preserve"> </w:t>
      </w:r>
    </w:p>
    <w:p w14:paraId="5FCBFD68" w14:textId="77777777" w:rsidR="00213345" w:rsidRDefault="00213345" w:rsidP="00E43C15">
      <w:pPr>
        <w:pStyle w:val="NoSpacing"/>
      </w:pPr>
    </w:p>
    <w:p w14:paraId="017F72E7" w14:textId="7212D458" w:rsidR="0085514B" w:rsidRDefault="007B1BF1" w:rsidP="00E43C15">
      <w:pPr>
        <w:pStyle w:val="NoSpacing"/>
      </w:pPr>
      <w:r w:rsidRPr="007B1BF1">
        <w:t>PMSS’s I.B. Diploma students apply to universities</w:t>
      </w:r>
      <w:r w:rsidR="00AA5F1B">
        <w:t xml:space="preserve"> </w:t>
      </w:r>
      <w:proofErr w:type="gramStart"/>
      <w:r w:rsidR="00AA5F1B">
        <w:t>on the basis of</w:t>
      </w:r>
      <w:proofErr w:type="gramEnd"/>
      <w:r w:rsidR="00AA5F1B">
        <w:t xml:space="preserve"> their Diploma </w:t>
      </w:r>
      <w:r w:rsidR="00FF5EA1">
        <w:t>anticipated</w:t>
      </w:r>
      <w:r w:rsidR="00AA5F1B">
        <w:t xml:space="preserve"> grades which are calculated at </w:t>
      </w:r>
      <w:r w:rsidR="009072C7">
        <w:t>the end of January</w:t>
      </w:r>
      <w:r w:rsidR="00AA5F1B">
        <w:t xml:space="preserve"> in their Grade 12 year.  </w:t>
      </w:r>
      <w:r w:rsidR="0085514B">
        <w:t>Our teachers assess based on the standards and grade descriptors of the IB curriculum and this anticipated grade will be reported throughout the grade 11 and 12 years.</w:t>
      </w:r>
    </w:p>
    <w:p w14:paraId="40BD5F3F" w14:textId="0BF28687" w:rsidR="00213345" w:rsidRPr="00F26EC3" w:rsidRDefault="0085514B" w:rsidP="00E43C15">
      <w:pPr>
        <w:pStyle w:val="NoSpacing"/>
      </w:pPr>
      <w:r>
        <w:t>Due to the high</w:t>
      </w:r>
      <w:r w:rsidR="00F26EC3">
        <w:t>-</w:t>
      </w:r>
      <w:r>
        <w:t>stakes nature of university applications, a</w:t>
      </w:r>
      <w:r w:rsidR="00AA5F1B">
        <w:t xml:space="preserve">ll senior I.B. teachers meet with the Coordinator </w:t>
      </w:r>
      <w:r>
        <w:t xml:space="preserve">in January of the grade 12 year </w:t>
      </w:r>
      <w:r w:rsidR="00AA5F1B">
        <w:t>to establish a</w:t>
      </w:r>
      <w:r>
        <w:t xml:space="preserve"> formal</w:t>
      </w:r>
      <w:r w:rsidR="004D3EAD">
        <w:t xml:space="preserve"> anticipated </w:t>
      </w:r>
      <w:r w:rsidR="00AA5F1B">
        <w:t xml:space="preserve">grade out of 45 (including EE and </w:t>
      </w:r>
      <w:r w:rsidR="009072C7">
        <w:t>TOK</w:t>
      </w:r>
      <w:r w:rsidR="004D3EAD">
        <w:t xml:space="preserve"> bonus points</w:t>
      </w:r>
      <w:r w:rsidR="00AA5F1B">
        <w:t xml:space="preserve">) </w:t>
      </w:r>
      <w:r>
        <w:t>which are</w:t>
      </w:r>
      <w:r w:rsidR="00AA5F1B">
        <w:t xml:space="preserve"> used to make up </w:t>
      </w:r>
      <w:r w:rsidR="004D3EAD">
        <w:t>Anticipated Grade</w:t>
      </w:r>
      <w:r w:rsidR="00AA5F1B">
        <w:t xml:space="preserve"> transcript which </w:t>
      </w:r>
      <w:r w:rsidR="00F26EC3">
        <w:t>can</w:t>
      </w:r>
      <w:r w:rsidR="00AA5F1B">
        <w:t xml:space="preserve"> then </w:t>
      </w:r>
      <w:r w:rsidR="00F26EC3">
        <w:t xml:space="preserve">be </w:t>
      </w:r>
      <w:r w:rsidR="00AA5F1B">
        <w:t>provided to the universities of choice</w:t>
      </w:r>
      <w:r w:rsidR="004D3EAD">
        <w:t xml:space="preserve"> or reported to the universities as required.</w:t>
      </w:r>
      <w:r w:rsidR="00AA5F1B">
        <w:t xml:space="preserve">  Students are </w:t>
      </w:r>
      <w:r w:rsidR="004D3EAD">
        <w:t xml:space="preserve">typically </w:t>
      </w:r>
      <w:proofErr w:type="gramStart"/>
      <w:r w:rsidR="00AA5F1B">
        <w:t>offered admission</w:t>
      </w:r>
      <w:proofErr w:type="gramEnd"/>
      <w:r w:rsidR="00AA5F1B">
        <w:t xml:space="preserve"> and scholarships based on these scores as long as final grades reflect the same standards.</w:t>
      </w:r>
    </w:p>
    <w:p w14:paraId="3BFBBA3F" w14:textId="77777777" w:rsidR="00213345" w:rsidRPr="00AC6B96" w:rsidRDefault="00AC6B96" w:rsidP="00E43C15">
      <w:pPr>
        <w:pStyle w:val="NoSpacing"/>
        <w:rPr>
          <w:b/>
          <w:u w:val="single"/>
        </w:rPr>
      </w:pPr>
      <w:r w:rsidRPr="00AC6B96">
        <w:rPr>
          <w:b/>
          <w:u w:val="single"/>
        </w:rPr>
        <w:lastRenderedPageBreak/>
        <w:t>Review and Implementation</w:t>
      </w:r>
    </w:p>
    <w:p w14:paraId="4324CBDE" w14:textId="77777777" w:rsidR="00AC6B96" w:rsidRDefault="00AC6B96" w:rsidP="00E43C15">
      <w:pPr>
        <w:pStyle w:val="NoSpacing"/>
      </w:pPr>
    </w:p>
    <w:p w14:paraId="75ADDA56" w14:textId="77777777" w:rsidR="00213345" w:rsidRDefault="00AC6B96">
      <w:r>
        <w:t>Our assessment policy will be reviewed and revised each year in June by the IB Coordinator, the school Principal and Administrative Team, and all teachers in the IB diploma programme. Any revision or changes that need to be made will be completed by the IB Coordinator. New staff members will be mentored and trained in this assessment policy by their colleagues within their departments, the IB Coordinator, and the Administrative Team.</w:t>
      </w:r>
    </w:p>
    <w:sectPr w:rsidR="00213345" w:rsidSect="00E903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C5E9" w14:textId="77777777" w:rsidR="00B75FBE" w:rsidRDefault="00B75FBE" w:rsidP="00B75FBE">
      <w:pPr>
        <w:spacing w:after="0" w:line="240" w:lineRule="auto"/>
      </w:pPr>
      <w:r>
        <w:separator/>
      </w:r>
    </w:p>
  </w:endnote>
  <w:endnote w:type="continuationSeparator" w:id="0">
    <w:p w14:paraId="3453814F" w14:textId="77777777" w:rsidR="00B75FBE" w:rsidRDefault="00B75FBE" w:rsidP="00B7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94087"/>
      <w:docPartObj>
        <w:docPartGallery w:val="Page Numbers (Bottom of Page)"/>
        <w:docPartUnique/>
      </w:docPartObj>
    </w:sdtPr>
    <w:sdtEndPr>
      <w:rPr>
        <w:noProof/>
      </w:rPr>
    </w:sdtEndPr>
    <w:sdtContent>
      <w:p w14:paraId="73FDC239" w14:textId="497278F2" w:rsidR="00B75FBE" w:rsidRDefault="00B75F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0538B" w14:textId="77777777" w:rsidR="00B75FBE" w:rsidRDefault="00B7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37B4" w14:textId="77777777" w:rsidR="00B75FBE" w:rsidRDefault="00B75FBE" w:rsidP="00B75FBE">
      <w:pPr>
        <w:spacing w:after="0" w:line="240" w:lineRule="auto"/>
      </w:pPr>
      <w:r>
        <w:separator/>
      </w:r>
    </w:p>
  </w:footnote>
  <w:footnote w:type="continuationSeparator" w:id="0">
    <w:p w14:paraId="7AA2F315" w14:textId="77777777" w:rsidR="00B75FBE" w:rsidRDefault="00B75FBE" w:rsidP="00B7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7A12" w14:textId="5D5CDAA1" w:rsidR="0085514B" w:rsidRPr="0085514B" w:rsidRDefault="0085514B" w:rsidP="0085514B">
    <w:pPr>
      <w:pStyle w:val="Header"/>
      <w:ind w:firstLine="720"/>
      <w:rPr>
        <w:lang w:val="en-US"/>
      </w:rPr>
    </w:pPr>
    <w:r>
      <w:rPr>
        <w:lang w:val="en-US"/>
      </w:rPr>
      <w:t>Revised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3B9"/>
    <w:multiLevelType w:val="hybridMultilevel"/>
    <w:tmpl w:val="2560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40F91"/>
    <w:multiLevelType w:val="hybridMultilevel"/>
    <w:tmpl w:val="201656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1D347C8"/>
    <w:multiLevelType w:val="hybridMultilevel"/>
    <w:tmpl w:val="ECDA1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1824CA"/>
    <w:multiLevelType w:val="hybridMultilevel"/>
    <w:tmpl w:val="1CD4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2D5FAA"/>
    <w:multiLevelType w:val="hybridMultilevel"/>
    <w:tmpl w:val="64768D2A"/>
    <w:lvl w:ilvl="0" w:tplc="E390B77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82F25"/>
    <w:multiLevelType w:val="multilevel"/>
    <w:tmpl w:val="C94C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F5848"/>
    <w:multiLevelType w:val="hybridMultilevel"/>
    <w:tmpl w:val="19E4B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712E25"/>
    <w:multiLevelType w:val="hybridMultilevel"/>
    <w:tmpl w:val="17BE5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C21B32"/>
    <w:multiLevelType w:val="multilevel"/>
    <w:tmpl w:val="06EC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798996">
    <w:abstractNumId w:val="0"/>
  </w:num>
  <w:num w:numId="2" w16cid:durableId="1553079427">
    <w:abstractNumId w:val="4"/>
  </w:num>
  <w:num w:numId="3" w16cid:durableId="2028553732">
    <w:abstractNumId w:val="1"/>
  </w:num>
  <w:num w:numId="4" w16cid:durableId="761338240">
    <w:abstractNumId w:val="2"/>
  </w:num>
  <w:num w:numId="5" w16cid:durableId="1828205558">
    <w:abstractNumId w:val="6"/>
  </w:num>
  <w:num w:numId="6" w16cid:durableId="761999092">
    <w:abstractNumId w:val="7"/>
  </w:num>
  <w:num w:numId="7" w16cid:durableId="1291715637">
    <w:abstractNumId w:val="5"/>
  </w:num>
  <w:num w:numId="8" w16cid:durableId="1105468033">
    <w:abstractNumId w:val="3"/>
  </w:num>
  <w:num w:numId="9" w16cid:durableId="8524957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DA"/>
    <w:rsid w:val="00041B19"/>
    <w:rsid w:val="00213345"/>
    <w:rsid w:val="00237990"/>
    <w:rsid w:val="00262397"/>
    <w:rsid w:val="00361476"/>
    <w:rsid w:val="003D711B"/>
    <w:rsid w:val="004131EA"/>
    <w:rsid w:val="004D3EAD"/>
    <w:rsid w:val="00510CE1"/>
    <w:rsid w:val="00524DD6"/>
    <w:rsid w:val="005559DA"/>
    <w:rsid w:val="005634C5"/>
    <w:rsid w:val="00590BE7"/>
    <w:rsid w:val="005B1BAB"/>
    <w:rsid w:val="005C2CB6"/>
    <w:rsid w:val="005D013D"/>
    <w:rsid w:val="00694787"/>
    <w:rsid w:val="007B1BF1"/>
    <w:rsid w:val="007C3808"/>
    <w:rsid w:val="0085514B"/>
    <w:rsid w:val="00870628"/>
    <w:rsid w:val="008C4748"/>
    <w:rsid w:val="009072C7"/>
    <w:rsid w:val="00A4015D"/>
    <w:rsid w:val="00AA5F1B"/>
    <w:rsid w:val="00AC6B96"/>
    <w:rsid w:val="00B114C3"/>
    <w:rsid w:val="00B4784C"/>
    <w:rsid w:val="00B75FBE"/>
    <w:rsid w:val="00BB35D7"/>
    <w:rsid w:val="00C40727"/>
    <w:rsid w:val="00C62311"/>
    <w:rsid w:val="00C7115F"/>
    <w:rsid w:val="00C87AC9"/>
    <w:rsid w:val="00D03558"/>
    <w:rsid w:val="00D25392"/>
    <w:rsid w:val="00D71492"/>
    <w:rsid w:val="00E43C15"/>
    <w:rsid w:val="00E7228F"/>
    <w:rsid w:val="00E770F9"/>
    <w:rsid w:val="00E9036C"/>
    <w:rsid w:val="00EB7F45"/>
    <w:rsid w:val="00ED3D09"/>
    <w:rsid w:val="00F26EC3"/>
    <w:rsid w:val="00F3263D"/>
    <w:rsid w:val="00F57A61"/>
    <w:rsid w:val="00F65B03"/>
    <w:rsid w:val="00FF5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5D9D"/>
  <w15:docId w15:val="{690B84C3-6C97-466A-B165-0B99B856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514B"/>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9DA"/>
    <w:pPr>
      <w:ind w:left="720"/>
      <w:contextualSpacing/>
    </w:pPr>
  </w:style>
  <w:style w:type="table" w:styleId="TableGrid">
    <w:name w:val="Table Grid"/>
    <w:basedOn w:val="TableNormal"/>
    <w:uiPriority w:val="59"/>
    <w:rsid w:val="00ED3D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397"/>
    <w:rPr>
      <w:rFonts w:ascii="Tahoma" w:hAnsi="Tahoma" w:cs="Tahoma"/>
      <w:sz w:val="16"/>
      <w:szCs w:val="16"/>
    </w:rPr>
  </w:style>
  <w:style w:type="paragraph" w:styleId="NoSpacing">
    <w:name w:val="No Spacing"/>
    <w:uiPriority w:val="1"/>
    <w:qFormat/>
    <w:rsid w:val="00E43C15"/>
    <w:pPr>
      <w:spacing w:after="0" w:line="240" w:lineRule="auto"/>
    </w:pPr>
  </w:style>
  <w:style w:type="character" w:customStyle="1" w:styleId="A0">
    <w:name w:val="A0"/>
    <w:uiPriority w:val="99"/>
    <w:rsid w:val="00D25392"/>
    <w:rPr>
      <w:rFonts w:cs="Adobe Garamond Pro"/>
      <w:color w:val="211D1E"/>
      <w:sz w:val="18"/>
      <w:szCs w:val="18"/>
    </w:rPr>
  </w:style>
  <w:style w:type="character" w:styleId="Hyperlink">
    <w:name w:val="Hyperlink"/>
    <w:basedOn w:val="DefaultParagraphFont"/>
    <w:uiPriority w:val="99"/>
    <w:unhideWhenUsed/>
    <w:rsid w:val="00E770F9"/>
    <w:rPr>
      <w:color w:val="0000FF" w:themeColor="hyperlink"/>
      <w:u w:val="single"/>
    </w:rPr>
  </w:style>
  <w:style w:type="character" w:styleId="UnresolvedMention">
    <w:name w:val="Unresolved Mention"/>
    <w:basedOn w:val="DefaultParagraphFont"/>
    <w:uiPriority w:val="99"/>
    <w:semiHidden/>
    <w:unhideWhenUsed/>
    <w:rsid w:val="00E770F9"/>
    <w:rPr>
      <w:color w:val="605E5C"/>
      <w:shd w:val="clear" w:color="auto" w:fill="E1DFDD"/>
    </w:rPr>
  </w:style>
  <w:style w:type="paragraph" w:styleId="NormalWeb">
    <w:name w:val="Normal (Web)"/>
    <w:basedOn w:val="Normal"/>
    <w:uiPriority w:val="99"/>
    <w:semiHidden/>
    <w:unhideWhenUsed/>
    <w:rsid w:val="00E722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BE"/>
  </w:style>
  <w:style w:type="paragraph" w:styleId="Footer">
    <w:name w:val="footer"/>
    <w:basedOn w:val="Normal"/>
    <w:link w:val="FooterChar"/>
    <w:uiPriority w:val="99"/>
    <w:unhideWhenUsed/>
    <w:rsid w:val="00B7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BE"/>
  </w:style>
  <w:style w:type="character" w:styleId="FollowedHyperlink">
    <w:name w:val="FollowedHyperlink"/>
    <w:basedOn w:val="DefaultParagraphFont"/>
    <w:uiPriority w:val="99"/>
    <w:semiHidden/>
    <w:unhideWhenUsed/>
    <w:rsid w:val="00A4015D"/>
    <w:rPr>
      <w:color w:val="800080" w:themeColor="followedHyperlink"/>
      <w:u w:val="single"/>
    </w:rPr>
  </w:style>
  <w:style w:type="character" w:customStyle="1" w:styleId="Heading3Char">
    <w:name w:val="Heading 3 Char"/>
    <w:basedOn w:val="DefaultParagraphFont"/>
    <w:link w:val="Heading3"/>
    <w:uiPriority w:val="9"/>
    <w:rsid w:val="0085514B"/>
    <w:rPr>
      <w:rFonts w:ascii="Times New Roman" w:eastAsia="Times New Roman" w:hAnsi="Times New Roman" w:cs="Times New Roman"/>
      <w:b/>
      <w:bCs/>
      <w:sz w:val="27"/>
      <w:szCs w:val="2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168">
      <w:bodyDiv w:val="1"/>
      <w:marLeft w:val="0"/>
      <w:marRight w:val="0"/>
      <w:marTop w:val="0"/>
      <w:marBottom w:val="0"/>
      <w:divBdr>
        <w:top w:val="none" w:sz="0" w:space="0" w:color="auto"/>
        <w:left w:val="none" w:sz="0" w:space="0" w:color="auto"/>
        <w:bottom w:val="none" w:sz="0" w:space="0" w:color="auto"/>
        <w:right w:val="none" w:sz="0" w:space="0" w:color="auto"/>
      </w:divBdr>
    </w:div>
    <w:div w:id="616371080">
      <w:bodyDiv w:val="1"/>
      <w:marLeft w:val="0"/>
      <w:marRight w:val="0"/>
      <w:marTop w:val="0"/>
      <w:marBottom w:val="0"/>
      <w:divBdr>
        <w:top w:val="none" w:sz="0" w:space="0" w:color="auto"/>
        <w:left w:val="none" w:sz="0" w:space="0" w:color="auto"/>
        <w:bottom w:val="none" w:sz="0" w:space="0" w:color="auto"/>
        <w:right w:val="none" w:sz="0" w:space="0" w:color="auto"/>
      </w:divBdr>
    </w:div>
    <w:div w:id="857083637">
      <w:bodyDiv w:val="1"/>
      <w:marLeft w:val="0"/>
      <w:marRight w:val="0"/>
      <w:marTop w:val="0"/>
      <w:marBottom w:val="0"/>
      <w:divBdr>
        <w:top w:val="none" w:sz="0" w:space="0" w:color="auto"/>
        <w:left w:val="none" w:sz="0" w:space="0" w:color="auto"/>
        <w:bottom w:val="none" w:sz="0" w:space="0" w:color="auto"/>
        <w:right w:val="none" w:sz="0" w:space="0" w:color="auto"/>
      </w:divBdr>
    </w:div>
    <w:div w:id="1058472964">
      <w:bodyDiv w:val="1"/>
      <w:marLeft w:val="0"/>
      <w:marRight w:val="0"/>
      <w:marTop w:val="0"/>
      <w:marBottom w:val="0"/>
      <w:divBdr>
        <w:top w:val="none" w:sz="0" w:space="0" w:color="auto"/>
        <w:left w:val="none" w:sz="0" w:space="0" w:color="auto"/>
        <w:bottom w:val="none" w:sz="0" w:space="0" w:color="auto"/>
        <w:right w:val="none" w:sz="0" w:space="0" w:color="auto"/>
      </w:divBdr>
    </w:div>
    <w:div w:id="1418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graduation/grad_certificate.ht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2.gov.bc.ca/gov/content/education-training/k-12/administration/legislation-policy/public-schools/student-repor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4BE5A6C1F184999D55665AEB7A646" ma:contentTypeVersion="1" ma:contentTypeDescription="Create a new document." ma:contentTypeScope="" ma:versionID="e1e3ec8d96c5d258715dd6736555f96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ED90B-CFA8-4BB1-8866-04D0EE7FD2FD}"/>
</file>

<file path=customXml/itemProps2.xml><?xml version="1.0" encoding="utf-8"?>
<ds:datastoreItem xmlns:ds="http://schemas.openxmlformats.org/officeDocument/2006/customXml" ds:itemID="{0D2678D4-37F1-4AB2-A69A-A99029BCEB3F}"/>
</file>

<file path=customXml/itemProps3.xml><?xml version="1.0" encoding="utf-8"?>
<ds:datastoreItem xmlns:ds="http://schemas.openxmlformats.org/officeDocument/2006/customXml" ds:itemID="{968BEA12-3619-4EF1-9EBD-7290E1ED787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mhart</dc:creator>
  <cp:lastModifiedBy>Lenihan, Sean</cp:lastModifiedBy>
  <cp:revision>2</cp:revision>
  <cp:lastPrinted>2016-09-19T19:43:00Z</cp:lastPrinted>
  <dcterms:created xsi:type="dcterms:W3CDTF">2022-10-07T17:07:00Z</dcterms:created>
  <dcterms:modified xsi:type="dcterms:W3CDTF">2022-10-07T17:07:00Z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0x0101004B64BE5A6C1F184999D55665AEB7A646</vt:lpwstr>
  </property>
</Properties>
</file>