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D2398B" w:rsidRPr="000D0B33" w:rsidRDefault="00D2398B" w:rsidP="00D2398B">
            <w:pPr>
              <w:jc w:val="center"/>
              <w:rPr>
                <w:b/>
              </w:rPr>
            </w:pPr>
            <w:bookmarkStart w:id="0" w:name="_GoBack"/>
            <w:bookmarkEnd w:id="0"/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:rsidTr="00814255">
        <w:trPr>
          <w:trHeight w:hRule="exact" w:val="864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EE2E10">
              <w:rPr>
                <w:b/>
              </w:rPr>
              <w:t xml:space="preserve"> </w:t>
            </w:r>
            <w:r w:rsidR="007B14AB">
              <w:rPr>
                <w:b/>
              </w:rPr>
              <w:t>Moody Elementary School</w:t>
            </w:r>
          </w:p>
        </w:tc>
      </w:tr>
      <w:tr w:rsidR="00D2398B" w:rsidTr="00814255">
        <w:trPr>
          <w:trHeight w:hRule="exact" w:val="864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B15E43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D2398B" w:rsidTr="00814255">
        <w:trPr>
          <w:trHeight w:val="864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:rsidR="00D2398B" w:rsidRPr="00795E41" w:rsidRDefault="00D2398B" w:rsidP="008A2FB6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7B14AB">
              <w:rPr>
                <w:b/>
              </w:rPr>
              <w:t>201</w:t>
            </w:r>
            <w:r w:rsidR="008A2FB6">
              <w:rPr>
                <w:b/>
              </w:rPr>
              <w:t>6-2017</w:t>
            </w:r>
          </w:p>
        </w:tc>
      </w:tr>
    </w:tbl>
    <w:p w:rsidR="00D2398B" w:rsidRDefault="00D2398B" w:rsidP="00D2398B"/>
    <w:p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:rsidR="00E3364B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Goal </w:t>
            </w:r>
            <w:r w:rsidR="00E3364B"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/ Inquiry 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Student learning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98" w:type="dxa"/>
          </w:tcPr>
          <w:p w:rsidR="00005092" w:rsidRPr="00A1320D" w:rsidRDefault="00B15E43" w:rsidP="00997124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To increase the percentage of students who are meeting expectations in reading </w:t>
            </w:r>
            <w:r w:rsidR="007B18FC">
              <w:rPr>
                <w:rFonts w:ascii="Arial" w:hAnsi="Arial" w:cs="Arial"/>
                <w:b w:val="0"/>
                <w:sz w:val="22"/>
                <w:szCs w:val="20"/>
              </w:rPr>
              <w:t>in order to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 build student self-confidence and set students up for success.</w:t>
            </w:r>
          </w:p>
        </w:tc>
      </w:tr>
    </w:tbl>
    <w:p w:rsidR="009147A6" w:rsidRPr="00A1320D" w:rsidRDefault="009147A6" w:rsidP="009147A6">
      <w:pPr>
        <w:rPr>
          <w:rFonts w:ascii="Arial" w:hAnsi="Arial" w:cs="Arial"/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Rationale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1-3 reasons for choosing goal</w:t>
            </w:r>
          </w:p>
          <w:p w:rsidR="009147A6" w:rsidRPr="00A1320D" w:rsidRDefault="009147A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98" w:type="dxa"/>
          </w:tcPr>
          <w:p w:rsidR="001D2D52" w:rsidRPr="00A1320D" w:rsidRDefault="00B15E43" w:rsidP="005A4C2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Reading fluency and comprehension has been a concern for years</w:t>
            </w:r>
            <w:r w:rsidR="003B63BB">
              <w:rPr>
                <w:rFonts w:ascii="Arial" w:hAnsi="Arial" w:cs="Arial"/>
                <w:b w:val="0"/>
                <w:sz w:val="22"/>
              </w:rPr>
              <w:t>.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3B63BB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           </w:t>
            </w:r>
            <w:r w:rsidR="003B63BB">
              <w:rPr>
                <w:rFonts w:ascii="Arial" w:hAnsi="Arial" w:cs="Arial"/>
                <w:b w:val="0"/>
                <w:sz w:val="22"/>
              </w:rPr>
              <w:t>The 2011 APL</w:t>
            </w:r>
            <w:r w:rsidR="007B18FC">
              <w:rPr>
                <w:rFonts w:ascii="Arial" w:hAnsi="Arial" w:cs="Arial"/>
                <w:b w:val="0"/>
                <w:sz w:val="22"/>
              </w:rPr>
              <w:t>, for example,</w:t>
            </w:r>
            <w:r w:rsidR="003B63B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7B18FC">
              <w:rPr>
                <w:rFonts w:ascii="Arial" w:hAnsi="Arial" w:cs="Arial"/>
                <w:b w:val="0"/>
                <w:sz w:val="22"/>
              </w:rPr>
              <w:t>notes this</w:t>
            </w:r>
            <w:r w:rsidR="00965D50">
              <w:rPr>
                <w:rFonts w:ascii="Arial" w:hAnsi="Arial" w:cs="Arial"/>
                <w:b w:val="0"/>
                <w:sz w:val="22"/>
              </w:rPr>
              <w:t>,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in addition to </w:t>
            </w:r>
            <w:r w:rsidR="003B63BB">
              <w:rPr>
                <w:rFonts w:ascii="Arial" w:hAnsi="Arial" w:cs="Arial"/>
                <w:b w:val="0"/>
                <w:sz w:val="22"/>
              </w:rPr>
              <w:t>concerns about the number of Grade 5 students not yet meeting expectations in reading.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   </w:t>
            </w:r>
            <w:r w:rsidR="002A17E8">
              <w:rPr>
                <w:rFonts w:ascii="Arial" w:hAnsi="Arial" w:cs="Arial"/>
                <w:b w:val="0"/>
                <w:sz w:val="22"/>
              </w:rPr>
              <w:t xml:space="preserve">    </w:t>
            </w:r>
            <w:r w:rsidR="009C2949">
              <w:rPr>
                <w:rFonts w:ascii="Arial" w:hAnsi="Arial" w:cs="Arial"/>
                <w:b w:val="0"/>
                <w:sz w:val="22"/>
              </w:rPr>
              <w:t xml:space="preserve">    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A17217" w:rsidRPr="00A1320D" w:rsidRDefault="002A17E8" w:rsidP="005D5D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22% of our students have been identified as being significantly below grade level in reading.  These students require extensive daily interventions.</w:t>
            </w:r>
          </w:p>
          <w:p w:rsidR="007B18FC" w:rsidRDefault="002A17E8" w:rsidP="007B1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36.5% of our students are learning English as an additional language.  18% of these students require extensive daily literacy interventions.</w:t>
            </w:r>
          </w:p>
          <w:p w:rsidR="007B18FC" w:rsidRPr="007B18FC" w:rsidRDefault="007B18FC" w:rsidP="007B18FC">
            <w:pPr>
              <w:pStyle w:val="ListParagraph"/>
              <w:rPr>
                <w:rFonts w:ascii="Arial" w:hAnsi="Arial" w:cs="Arial"/>
                <w:b w:val="0"/>
                <w:sz w:val="6"/>
              </w:rPr>
            </w:pPr>
          </w:p>
        </w:tc>
      </w:tr>
    </w:tbl>
    <w:p w:rsidR="00090AC0" w:rsidRPr="00A1320D" w:rsidRDefault="00090AC0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8A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tcW w:w="2718" w:type="dxa"/>
          </w:tcPr>
          <w:p w:rsidR="009147A6" w:rsidRPr="00A1320D" w:rsidRDefault="009147A6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 xml:space="preserve">References </w:t>
            </w: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and sources to support actions</w:t>
            </w:r>
          </w:p>
          <w:p w:rsidR="009147A6" w:rsidRPr="00A1320D" w:rsidRDefault="009147A6" w:rsidP="005D5D87">
            <w:pPr>
              <w:rPr>
                <w:rFonts w:ascii="Arial" w:hAnsi="Arial" w:cs="Arial"/>
              </w:rPr>
            </w:pPr>
          </w:p>
        </w:tc>
        <w:tc>
          <w:tcPr>
            <w:tcW w:w="8298" w:type="dxa"/>
          </w:tcPr>
          <w:p w:rsidR="00F01C34" w:rsidRPr="00F01C34" w:rsidRDefault="00F01C34" w:rsidP="008A2F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EF time dedicated to the development of a school-based T&amp;E Centre</w:t>
            </w:r>
          </w:p>
          <w:p w:rsidR="00F01C34" w:rsidRPr="00F01C34" w:rsidRDefault="00F01C34" w:rsidP="00F01C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FastForward training for Student Services teachers</w:t>
            </w:r>
          </w:p>
          <w:p w:rsidR="00F01C34" w:rsidRPr="00F01C34" w:rsidRDefault="00B42DCE" w:rsidP="00F01C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District </w:t>
            </w:r>
            <w:r w:rsidR="00F01C34">
              <w:rPr>
                <w:rFonts w:ascii="Arial" w:hAnsi="Arial" w:cs="Arial"/>
                <w:b w:val="0"/>
                <w:sz w:val="22"/>
              </w:rPr>
              <w:t>T&amp;E Centre resources, PD and support</w:t>
            </w:r>
          </w:p>
          <w:p w:rsidR="00F01C34" w:rsidRPr="00F01C34" w:rsidRDefault="00812C51" w:rsidP="008A2F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Computers in classes and available</w:t>
            </w:r>
            <w:r w:rsidR="00F01C34">
              <w:rPr>
                <w:rFonts w:ascii="Arial" w:hAnsi="Arial" w:cs="Arial"/>
                <w:b w:val="0"/>
                <w:sz w:val="22"/>
              </w:rPr>
              <w:t xml:space="preserve"> laptops and iPads with assistive technology and reading programs (e.g. RazKids)</w:t>
            </w:r>
          </w:p>
          <w:p w:rsidR="00F01C34" w:rsidRPr="005D311C" w:rsidRDefault="00F01C34" w:rsidP="00F01C34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E3364B" w:rsidRPr="00A1320D" w:rsidTr="00D71E79">
        <w:tc>
          <w:tcPr>
            <w:tcW w:w="2718" w:type="dxa"/>
          </w:tcPr>
          <w:p w:rsidR="00E3364B" w:rsidRPr="00A1320D" w:rsidRDefault="001D56DF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>Backup</w:t>
            </w:r>
            <w:r w:rsidR="00E3364B" w:rsidRPr="00A1320D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:rsidR="00D20CAC" w:rsidRDefault="00D20CAC" w:rsidP="00D20C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</w:p>
          <w:p w:rsidR="003F1954" w:rsidRPr="00A1320D" w:rsidRDefault="003F1954" w:rsidP="001A187D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</w:tbl>
    <w:p w:rsidR="009147A6" w:rsidRPr="00A1320D" w:rsidRDefault="009147A6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E3364B" w:rsidRPr="00A1320D" w:rsidRDefault="00E3364B" w:rsidP="009147A6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A1320D">
              <w:rPr>
                <w:rFonts w:ascii="Arial" w:hAnsi="Arial" w:cs="Arial"/>
                <w:sz w:val="22"/>
                <w:szCs w:val="28"/>
              </w:rPr>
              <w:t>Planned Actions</w:t>
            </w:r>
          </w:p>
          <w:p w:rsidR="00E3364B" w:rsidRPr="00A1320D" w:rsidRDefault="00E3364B" w:rsidP="00E3364B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 xml:space="preserve">Continuing practices </w:t>
            </w:r>
            <w:r w:rsidR="00C94983" w:rsidRPr="00A1320D">
              <w:rPr>
                <w:rFonts w:ascii="Arial" w:hAnsi="Arial" w:cs="Arial"/>
                <w:b w:val="0"/>
                <w:sz w:val="22"/>
                <w:szCs w:val="20"/>
              </w:rPr>
              <w:t>w</w:t>
            </w: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orking well (1-3)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What will we do differently? (1-3)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provide for staff development and collaboration?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parents?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students?</w:t>
            </w:r>
          </w:p>
          <w:p w:rsidR="00E3364B" w:rsidRPr="00A1320D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:rsidR="001D2D52" w:rsidRDefault="00A1320D" w:rsidP="00F1484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Continuing Practices:</w:t>
            </w:r>
          </w:p>
          <w:p w:rsidR="00A1320D" w:rsidRDefault="002A17E8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Tier 3 daily intervention in Grade 3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-5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(school-based T&amp;E Centre)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we are entering into year 2 of the development of a school-based T&amp;E Centre program.  As part of the program, we will continue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 i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nquiry into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how </w:t>
            </w:r>
            <w:r w:rsidR="008A2FB6">
              <w:rPr>
                <w:rFonts w:ascii="Arial" w:hAnsi="Arial" w:cs="Arial"/>
                <w:b w:val="0"/>
                <w:sz w:val="22"/>
                <w:szCs w:val="22"/>
              </w:rPr>
              <w:t xml:space="preserve">the use of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online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reading programs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such as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FastForward, Reading Assistant, and MindPlay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can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support our goal. </w:t>
            </w:r>
          </w:p>
          <w:p w:rsidR="00AD61B7" w:rsidRDefault="00812C51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argeted support: </w:t>
            </w:r>
            <w:r w:rsidR="00B15E43">
              <w:rPr>
                <w:rFonts w:ascii="Arial" w:hAnsi="Arial" w:cs="Arial"/>
                <w:b w:val="0"/>
                <w:sz w:val="22"/>
                <w:szCs w:val="22"/>
              </w:rPr>
              <w:t>early intervention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and </w:t>
            </w:r>
            <w:r w:rsidR="008A2FB6">
              <w:rPr>
                <w:rFonts w:ascii="Arial" w:hAnsi="Arial" w:cs="Arial"/>
                <w:b w:val="0"/>
                <w:sz w:val="22"/>
                <w:szCs w:val="22"/>
              </w:rPr>
              <w:t xml:space="preserve">literacy learning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support is being provided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through a combination of support models.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:rsidR="009C2949" w:rsidRDefault="009C2949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Collaboration time: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 xml:space="preserve">optional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opportunities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are available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for t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eachers to collaborate together.</w:t>
            </w:r>
          </w:p>
          <w:p w:rsidR="003B63BB" w:rsidRDefault="009C2949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Technology and learning resources: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For example, </w:t>
            </w:r>
            <w:r w:rsidR="00F7162A">
              <w:rPr>
                <w:rFonts w:ascii="Arial" w:hAnsi="Arial" w:cs="Arial"/>
                <w:b w:val="0"/>
                <w:sz w:val="22"/>
                <w:szCs w:val="22"/>
              </w:rPr>
              <w:t>RazKids/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Headsprout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has been used by whole classes, and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levelled readers and library materials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 are available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AC7A62" w:rsidRPr="00AC7A62" w:rsidRDefault="00AC7A62" w:rsidP="00AC7A62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D311C" w:rsidRPr="005D311C" w:rsidRDefault="005D311C" w:rsidP="005D31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D311C">
              <w:rPr>
                <w:rFonts w:ascii="Arial" w:hAnsi="Arial" w:cs="Arial"/>
                <w:b w:val="0"/>
                <w:sz w:val="22"/>
                <w:szCs w:val="22"/>
              </w:rPr>
              <w:t>What will we do differently?</w:t>
            </w:r>
          </w:p>
          <w:p w:rsidR="005D311C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Continued Tier 3 support development: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="007B18FC">
              <w:rPr>
                <w:rFonts w:ascii="Arial" w:hAnsi="Arial" w:cs="Arial"/>
                <w:b w:val="0"/>
                <w:sz w:val="22"/>
                <w:szCs w:val="22"/>
              </w:rPr>
              <w:t>ontinue the development of our school-based T&amp;E Centre program by adding/changing aspects of the program to increase outcomes.</w:t>
            </w:r>
          </w:p>
          <w:p w:rsidR="003B63BB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Team-teaching: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dd a layer of support focused on inquiry-based learning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involving the teacher-librarian working with classroom teachers in a collaborative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(team-teaching) model</w:t>
            </w:r>
            <w:r w:rsidR="00965D50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:rsidR="003B63BB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Increased collaboration opportunities: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llow teachers </w:t>
            </w:r>
            <w:r w:rsidR="00191946">
              <w:rPr>
                <w:rFonts w:ascii="Arial" w:hAnsi="Arial" w:cs="Arial"/>
                <w:b w:val="0"/>
                <w:sz w:val="22"/>
                <w:szCs w:val="22"/>
              </w:rPr>
              <w:t xml:space="preserve">additional opportunities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to choose to collaborate during school time by scheduling prep time coverage by grade group.</w:t>
            </w:r>
          </w:p>
          <w:p w:rsidR="009C2949" w:rsidRPr="009C2949" w:rsidRDefault="00997124" w:rsidP="009C29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Parent support: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nvolve more parents by increasing our home reading supports.</w:t>
            </w:r>
          </w:p>
          <w:p w:rsidR="003B63BB" w:rsidRDefault="003B63BB" w:rsidP="003B63BB">
            <w:pPr>
              <w:rPr>
                <w:rFonts w:ascii="Arial" w:hAnsi="Arial" w:cs="Arial"/>
                <w:sz w:val="22"/>
                <w:szCs w:val="22"/>
              </w:rPr>
            </w:pPr>
          </w:p>
          <w:p w:rsidR="003B63BB" w:rsidRPr="005D311C" w:rsidRDefault="003B63BB" w:rsidP="003B63B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How will we monitor progress and adjust actions?</w:t>
            </w:r>
          </w:p>
          <w:p w:rsidR="003B63BB" w:rsidRDefault="003B63BB" w:rsidP="003B63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DRA levels to adjust the program for individual students.</w:t>
            </w:r>
          </w:p>
          <w:p w:rsidR="003B63BB" w:rsidRDefault="003B63BB" w:rsidP="003B63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Teacher judgment.</w:t>
            </w:r>
          </w:p>
          <w:p w:rsidR="00812C51" w:rsidRDefault="00812C51" w:rsidP="00812C51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D311C" w:rsidRPr="007B18FC" w:rsidRDefault="005D311C" w:rsidP="003B63BB">
            <w:pPr>
              <w:pStyle w:val="ListParagraph"/>
              <w:rPr>
                <w:rFonts w:ascii="Arial" w:hAnsi="Arial" w:cs="Arial"/>
                <w:b w:val="0"/>
                <w:sz w:val="6"/>
                <w:szCs w:val="22"/>
              </w:rPr>
            </w:pPr>
          </w:p>
        </w:tc>
      </w:tr>
      <w:tr w:rsidR="00E3364B" w:rsidTr="00D71E79">
        <w:tc>
          <w:tcPr>
            <w:tcW w:w="2718" w:type="dxa"/>
          </w:tcPr>
          <w:p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lastRenderedPageBreak/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:rsidR="00F7162A" w:rsidRP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FastForward and Reading Assistant: </w:t>
            </w:r>
            <w:hyperlink r:id="rId13" w:history="1">
              <w:r w:rsidRPr="00F716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http://www.scilearn.com/</w:t>
              </w:r>
            </w:hyperlink>
          </w:p>
          <w:p w:rsidR="00F7162A" w:rsidRP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MindPlay: </w:t>
            </w:r>
            <w:hyperlink r:id="rId14" w:history="1">
              <w:r w:rsidRPr="00F716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http://mindplay.com/</w:t>
              </w:r>
            </w:hyperlink>
          </w:p>
          <w:p w:rsid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RazKids/Headsprout: </w:t>
            </w:r>
            <w:hyperlink r:id="rId15" w:history="1">
              <w:r w:rsidRPr="007E751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https://www.raz-kids.com/</w:t>
              </w:r>
            </w:hyperlink>
          </w:p>
          <w:p w:rsid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Inquiry model: </w:t>
            </w:r>
            <w:hyperlink r:id="rId16" w:anchor="points" w:history="1">
              <w:r w:rsidR="004F42A7" w:rsidRPr="007E751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http://bctf.ca/bctla/pub/index.html#points</w:t>
              </w:r>
            </w:hyperlink>
          </w:p>
          <w:p w:rsidR="00AC7A62" w:rsidRPr="00AB26B3" w:rsidRDefault="00AC7A62" w:rsidP="0019644C"/>
        </w:tc>
      </w:tr>
    </w:tbl>
    <w:tbl>
      <w:tblPr>
        <w:tblStyle w:val="LightGrid-Accent1"/>
        <w:tblpPr w:leftFromText="180" w:rightFromText="180" w:vertAnchor="text" w:horzAnchor="margin" w:tblpY="237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7F0B96" w:rsidTr="007F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7F0B96" w:rsidRPr="00D25D8F" w:rsidRDefault="007F0B96" w:rsidP="007F0B9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:rsidR="007F0B96" w:rsidRPr="00D71E79" w:rsidRDefault="007F0B96" w:rsidP="007F0B96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:rsidR="007F0B96" w:rsidRDefault="007F0B96" w:rsidP="000F77EC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</w:tc>
        <w:tc>
          <w:tcPr>
            <w:tcW w:w="8298" w:type="dxa"/>
          </w:tcPr>
          <w:p w:rsidR="007F0B96" w:rsidRPr="00AA5F9B" w:rsidRDefault="007F0B96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5F9B">
              <w:rPr>
                <w:rFonts w:ascii="Arial" w:hAnsi="Arial" w:cs="Arial"/>
                <w:b w:val="0"/>
                <w:sz w:val="22"/>
                <w:szCs w:val="22"/>
              </w:rPr>
              <w:t>Planned Documentation:</w:t>
            </w:r>
          </w:p>
          <w:p w:rsidR="00AC7A62" w:rsidRPr="00AA5F9B" w:rsidRDefault="00AC7A62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B63BB" w:rsidRPr="00C84CC6" w:rsidRDefault="003B63BB" w:rsidP="003B63B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1) </w:t>
            </w:r>
            <w:r w:rsidR="004F42A7">
              <w:rPr>
                <w:rFonts w:ascii="Arial" w:hAnsi="Arial" w:cs="Arial"/>
                <w:b w:val="0"/>
                <w:sz w:val="22"/>
                <w:szCs w:val="22"/>
              </w:rPr>
              <w:t xml:space="preserve">Beginning and end-of-session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data collection</w:t>
            </w:r>
            <w:r w:rsidR="004F42A7">
              <w:rPr>
                <w:rFonts w:ascii="Arial" w:hAnsi="Arial" w:cs="Arial"/>
                <w:b w:val="0"/>
                <w:sz w:val="22"/>
                <w:szCs w:val="22"/>
              </w:rPr>
              <w:t xml:space="preserve"> using the DRA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B63BB" w:rsidRDefault="003B63B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0B96" w:rsidRPr="00C84CC6" w:rsidRDefault="003B63B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 w:rsidR="00AA5F9B"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 Assessments Based on Teacher </w:t>
            </w:r>
            <w:r w:rsidR="00C358F0" w:rsidRPr="00C84CC6">
              <w:rPr>
                <w:rFonts w:ascii="Arial" w:hAnsi="Arial" w:cs="Arial"/>
                <w:b w:val="0"/>
                <w:sz w:val="22"/>
                <w:szCs w:val="22"/>
              </w:rPr>
              <w:t>Judgment</w:t>
            </w:r>
            <w:r w:rsidR="00C358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>(based on BC Performance Standards) May 201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  <w:r w:rsidR="001A187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7F0B96" w:rsidRPr="000C0381" w:rsidRDefault="007F0B96" w:rsidP="00195A3A">
            <w:pPr>
              <w:rPr>
                <w:b w:val="0"/>
              </w:rPr>
            </w:pPr>
          </w:p>
        </w:tc>
      </w:tr>
      <w:tr w:rsidR="007F0B96" w:rsidTr="007F0B96">
        <w:tc>
          <w:tcPr>
            <w:tcW w:w="2718" w:type="dxa"/>
          </w:tcPr>
          <w:p w:rsidR="007F0B96" w:rsidRPr="00E3364B" w:rsidRDefault="007F0B96" w:rsidP="007F0B9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7F0B96" w:rsidRPr="00AB26B3" w:rsidRDefault="007F0B96" w:rsidP="007F0B96"/>
        </w:tc>
      </w:tr>
    </w:tbl>
    <w:p w:rsidR="00090AC0" w:rsidRDefault="00090AC0" w:rsidP="008A2FB6">
      <w:pPr>
        <w:pStyle w:val="NoSpacing"/>
      </w:pPr>
    </w:p>
    <w:tbl>
      <w:tblPr>
        <w:tblStyle w:val="LightGrid-Accent16"/>
        <w:tblpPr w:leftFromText="180" w:rightFromText="180" w:vertAnchor="page" w:horzAnchor="margin" w:tblpY="1083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0F77EC" w:rsidTr="000F7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sz w:val="22"/>
                <w:szCs w:val="22"/>
              </w:rPr>
              <w:t>School Community Engagement Process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How did you engage parents, teachers, students &amp; support staff in developing your APL?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How did you share your APL goals with parents, teachers, students &amp; support staff?</w:t>
            </w: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We engaged and shared our APL with our school community through</w:t>
            </w:r>
          </w:p>
          <w:p w:rsidR="000F77EC" w:rsidRPr="000F77EC" w:rsidRDefault="000F77EC" w:rsidP="000F77EC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Staff:  staff meetings, focus groups, SBT meetings, Pro-D</w:t>
            </w:r>
          </w:p>
          <w:p w:rsidR="000F77EC" w:rsidRPr="000F77EC" w:rsidRDefault="000F77EC" w:rsidP="000F77EC">
            <w:pPr>
              <w:ind w:left="72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Parents: Newsletter, PAC meeting, web page</w:t>
            </w: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Students: class discussions, assistive technology use, and reflection and assessment</w:t>
            </w:r>
          </w:p>
        </w:tc>
      </w:tr>
      <w:tr w:rsidR="000F77EC" w:rsidRPr="000F77EC" w:rsidTr="000F77EC">
        <w:tc>
          <w:tcPr>
            <w:tcW w:w="2718" w:type="dxa"/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:rsidR="009147A6" w:rsidRDefault="009147A6" w:rsidP="005D5D87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2FB6" w:rsidRPr="008A2FB6" w:rsidRDefault="00893CEE" w:rsidP="008A2FB6">
            <w:pPr>
              <w:rPr>
                <w:rFonts w:ascii="Arial" w:hAnsi="Arial" w:cs="Arial"/>
                <w:bCs w:val="0"/>
                <w:sz w:val="22"/>
              </w:rPr>
            </w:pPr>
            <w:r w:rsidRPr="008A2FB6">
              <w:rPr>
                <w:rFonts w:ascii="Arial" w:hAnsi="Arial" w:cs="Arial"/>
                <w:b w:val="0"/>
                <w:sz w:val="22"/>
              </w:rPr>
              <w:t xml:space="preserve">This year </w:t>
            </w:r>
            <w:r w:rsidR="008A2FB6" w:rsidRPr="008A2FB6">
              <w:rPr>
                <w:rFonts w:ascii="Arial" w:hAnsi="Arial" w:cs="Arial"/>
                <w:b w:val="0"/>
                <w:sz w:val="22"/>
              </w:rPr>
              <w:t>our Student Services teachers were trained in the use of FastForward to improve student literacy skills.</w:t>
            </w:r>
            <w:r w:rsidR="008A2FB6">
              <w:rPr>
                <w:rFonts w:ascii="Arial" w:hAnsi="Arial" w:cs="Arial"/>
                <w:b w:val="0"/>
                <w:sz w:val="22"/>
              </w:rPr>
              <w:t xml:space="preserve">  For some students, this resulted in a gain of two years as measured by the DRA (level 24 to 40).  For other</w:t>
            </w:r>
            <w:r w:rsidR="0019194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A2FB6">
              <w:rPr>
                <w:rFonts w:ascii="Arial" w:hAnsi="Arial" w:cs="Arial"/>
                <w:b w:val="0"/>
                <w:sz w:val="22"/>
              </w:rPr>
              <w:t>s</w:t>
            </w:r>
            <w:r w:rsidR="00191946">
              <w:rPr>
                <w:rFonts w:ascii="Arial" w:hAnsi="Arial" w:cs="Arial"/>
                <w:b w:val="0"/>
                <w:sz w:val="22"/>
              </w:rPr>
              <w:t>tudents</w:t>
            </w:r>
            <w:r w:rsidR="008A2FB6">
              <w:rPr>
                <w:rFonts w:ascii="Arial" w:hAnsi="Arial" w:cs="Arial"/>
                <w:b w:val="0"/>
                <w:sz w:val="22"/>
              </w:rPr>
              <w:t xml:space="preserve">, additional strategies will be needed as we continue to develop our school-based T&amp;E Centre program.  </w:t>
            </w:r>
          </w:p>
          <w:p w:rsidR="00F1484D" w:rsidRPr="009147A6" w:rsidRDefault="00F1484D" w:rsidP="0000239E">
            <w:pPr>
              <w:rPr>
                <w:b w:val="0"/>
                <w:sz w:val="22"/>
              </w:rPr>
            </w:pPr>
          </w:p>
        </w:tc>
      </w:tr>
      <w:tr w:rsidR="00E3364B" w:rsidTr="00D71E79">
        <w:tc>
          <w:tcPr>
            <w:tcW w:w="2718" w:type="dxa"/>
          </w:tcPr>
          <w:p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:rsidR="001D56DF" w:rsidRPr="00F53225" w:rsidRDefault="001D56DF" w:rsidP="005D5D87">
            <w:pPr>
              <w:rPr>
                <w:sz w:val="22"/>
              </w:rPr>
            </w:pPr>
          </w:p>
        </w:tc>
      </w:tr>
    </w:tbl>
    <w:p w:rsidR="00612657" w:rsidRDefault="00612657" w:rsidP="00AB26B3">
      <w:pPr>
        <w:rPr>
          <w:sz w:val="22"/>
          <w:szCs w:val="22"/>
        </w:rPr>
      </w:pPr>
    </w:p>
    <w:p w:rsidR="005A61B2" w:rsidRDefault="005A61B2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D952B3" w:rsidRDefault="00D952B3">
      <w:pPr>
        <w:rPr>
          <w:sz w:val="22"/>
          <w:szCs w:val="22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D952B3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:rsidR="00D952B3" w:rsidRPr="00D952B3" w:rsidRDefault="00D952B3" w:rsidP="00D952B3">
            <w:pPr>
              <w:rPr>
                <w:sz w:val="22"/>
                <w:szCs w:val="22"/>
              </w:rPr>
            </w:pPr>
            <w:r w:rsidRPr="00D952B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 #2</w:t>
            </w:r>
            <w:r w:rsidRPr="00D952B3">
              <w:rPr>
                <w:sz w:val="22"/>
                <w:szCs w:val="22"/>
              </w:rPr>
              <w:t xml:space="preserve"> / Inquiry </w:t>
            </w:r>
          </w:p>
          <w:p w:rsidR="00D952B3" w:rsidRPr="00D952B3" w:rsidRDefault="00D952B3" w:rsidP="00D952B3">
            <w:pPr>
              <w:rPr>
                <w:b w:val="0"/>
                <w:sz w:val="22"/>
                <w:szCs w:val="22"/>
              </w:rPr>
            </w:pPr>
            <w:r w:rsidRPr="00D952B3">
              <w:rPr>
                <w:b w:val="0"/>
                <w:sz w:val="22"/>
                <w:szCs w:val="22"/>
              </w:rPr>
              <w:t>Student learning</w:t>
            </w:r>
          </w:p>
          <w:p w:rsidR="00D952B3" w:rsidRPr="00D952B3" w:rsidRDefault="00D952B3" w:rsidP="00D952B3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:rsidR="00D952B3" w:rsidRPr="00D952B3" w:rsidRDefault="00D952B3" w:rsidP="00D952B3">
            <w:pPr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To grow students’ self-awareness and personal management reinforcing self-regulation skills and ensuring all students thrive at school.</w:t>
            </w:r>
          </w:p>
        </w:tc>
      </w:tr>
    </w:tbl>
    <w:tbl>
      <w:tblPr>
        <w:tblStyle w:val="LightGrid-Accent12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97291A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:rsidR="000F77EC" w:rsidRPr="003453AF" w:rsidRDefault="000F77EC" w:rsidP="00950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sz w:val="22"/>
                <w:szCs w:val="22"/>
              </w:rPr>
              <w:t>Rationale</w:t>
            </w:r>
          </w:p>
          <w:p w:rsidR="000F77EC" w:rsidRPr="003453AF" w:rsidRDefault="000F77EC" w:rsidP="00950BB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1-3 reasons for choosing goal</w:t>
            </w:r>
          </w:p>
          <w:p w:rsidR="000F77EC" w:rsidRPr="003453AF" w:rsidRDefault="000F77EC" w:rsidP="00950B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8" w:type="dxa"/>
          </w:tcPr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Developing self-regulation skills will enhance student achievement and reduce barriers to learning.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Fostering student voice in the classroom builds self-awareness and strengthens readiness to learn.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Building capacity as self-reflective learners enhances students’ ability to reach individual potential.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Student self-assessment and teacher observation highlights both growth and the need to continue developing self-regulation skills in our school.</w:t>
            </w:r>
          </w:p>
        </w:tc>
      </w:tr>
    </w:tbl>
    <w:tbl>
      <w:tblPr>
        <w:tblStyle w:val="LightGrid-Accent13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A67831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:rsidR="00D952B3" w:rsidRPr="005C3923" w:rsidRDefault="00D952B3" w:rsidP="007B262E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:rsidR="00D952B3" w:rsidRDefault="00D952B3" w:rsidP="007B262E"/>
        </w:tc>
        <w:tc>
          <w:tcPr>
            <w:tcW w:w="8298" w:type="dxa"/>
          </w:tcPr>
          <w:p w:rsidR="000F77EC" w:rsidRPr="000F77EC" w:rsidRDefault="000F77EC" w:rsidP="000F77EC">
            <w:pPr>
              <w:numPr>
                <w:ilvl w:val="0"/>
                <w:numId w:val="30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Staff 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Self-Regulation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learning team collaborations and professional readings</w:t>
            </w:r>
          </w:p>
          <w:p w:rsidR="00D952B3" w:rsidRPr="000F77EC" w:rsidRDefault="000F77EC" w:rsidP="000F77EC">
            <w:pPr>
              <w:pStyle w:val="ListParagraph"/>
              <w:rPr>
                <w:b w:val="0"/>
                <w:sz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Calm Classroom Framework</w:t>
            </w:r>
          </w:p>
        </w:tc>
      </w:tr>
    </w:tbl>
    <w:tbl>
      <w:tblPr>
        <w:tblStyle w:val="LightGrid-Accent14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9147A6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D952B3" w:rsidRPr="00E3364B" w:rsidRDefault="00D952B3" w:rsidP="007B262E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D952B3" w:rsidRPr="009147A6" w:rsidRDefault="00D952B3" w:rsidP="007B262E">
            <w:pPr>
              <w:rPr>
                <w:b w:val="0"/>
                <w:sz w:val="22"/>
              </w:rPr>
            </w:pPr>
          </w:p>
        </w:tc>
      </w:tr>
    </w:tbl>
    <w:p w:rsidR="00D952B3" w:rsidRPr="00D952B3" w:rsidRDefault="00D952B3" w:rsidP="00D952B3"/>
    <w:tbl>
      <w:tblPr>
        <w:tblStyle w:val="LightGrid-Accent15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D952B3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D952B3" w:rsidRPr="00D952B3" w:rsidRDefault="00D952B3" w:rsidP="00D952B3">
            <w:pPr>
              <w:rPr>
                <w:b w:val="0"/>
                <w:sz w:val="22"/>
                <w:szCs w:val="28"/>
              </w:rPr>
            </w:pPr>
            <w:r w:rsidRPr="00D952B3">
              <w:rPr>
                <w:sz w:val="22"/>
                <w:szCs w:val="28"/>
              </w:rPr>
              <w:t>Planned Actions</w:t>
            </w:r>
          </w:p>
          <w:p w:rsidR="00D952B3" w:rsidRPr="00D952B3" w:rsidRDefault="00D952B3" w:rsidP="00D952B3">
            <w:pPr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Continuing practices working well (1-3)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What will we do differently? (1-3)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involve parents?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involve students?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:rsidR="000F77EC" w:rsidRPr="000F77EC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Our continuing practice in the domain of self-regulation is supported by the progress staff has noticed from the past year’s practice.  </w:t>
            </w:r>
          </w:p>
          <w:p w:rsidR="000F77EC" w:rsidRPr="000F77EC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will make better use of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teacher </w:t>
            </w: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schedules and prep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times</w:t>
            </w: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to allow for more collaboration between like grade levels.  </w:t>
            </w:r>
          </w:p>
          <w:p w:rsidR="000F77EC" w:rsidRPr="000F77EC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Our monthly newsletter will include a self-regulation information piece  for parents</w:t>
            </w:r>
          </w:p>
          <w:p w:rsidR="000F77EC" w:rsidRPr="000F77EC" w:rsidRDefault="000F77EC" w:rsidP="000F77EC">
            <w:pPr>
              <w:numPr>
                <w:ilvl w:val="0"/>
                <w:numId w:val="31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Intensify a focus on developing tools in the emotional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,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behavioural 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and academic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domains of self-regulation</w:t>
            </w:r>
          </w:p>
          <w:p w:rsidR="000F77EC" w:rsidRPr="000F77EC" w:rsidRDefault="000F77EC" w:rsidP="000F77EC">
            <w:pPr>
              <w:numPr>
                <w:ilvl w:val="0"/>
                <w:numId w:val="31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Develop student voice and involvement  (student leadership)</w:t>
            </w:r>
          </w:p>
          <w:p w:rsidR="000F77EC" w:rsidRPr="000F77EC" w:rsidRDefault="000F77EC" w:rsidP="000F77E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Develop daily school wide program 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>(Zones and Calm Classrooms)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together with planner monthly focuses (breathing/exercise/sound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>/calm classrooms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  <w:p w:rsidR="000F77EC" w:rsidRPr="000F77EC" w:rsidRDefault="000F77EC" w:rsidP="000F77EC">
            <w:pPr>
              <w:numPr>
                <w:ilvl w:val="0"/>
                <w:numId w:val="32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Develop and teach language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in the emotional and behavioural domain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 (Zones of Regulation)</w:t>
            </w:r>
          </w:p>
          <w:p w:rsidR="000F77EC" w:rsidRPr="000F77EC" w:rsidRDefault="000F77EC" w:rsidP="000F77EC">
            <w:pPr>
              <w:numPr>
                <w:ilvl w:val="0"/>
                <w:numId w:val="32"/>
              </w:numPr>
              <w:contextualSpacing/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Encourage student problem-solving and reflection </w:t>
            </w:r>
          </w:p>
          <w:p w:rsidR="00D952B3" w:rsidRPr="00D952B3" w:rsidRDefault="000F77EC" w:rsidP="000F77EC">
            <w:pPr>
              <w:numPr>
                <w:ilvl w:val="0"/>
                <w:numId w:val="32"/>
              </w:numPr>
              <w:contextualSpacing/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Scaffold the use of 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>environment, tools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and language in the school environment both at work and play</w:t>
            </w:r>
          </w:p>
          <w:p w:rsidR="00D952B3" w:rsidRPr="00D952B3" w:rsidRDefault="00D952B3" w:rsidP="00D952B3">
            <w:pPr>
              <w:rPr>
                <w:b w:val="0"/>
              </w:rPr>
            </w:pPr>
          </w:p>
        </w:tc>
      </w:tr>
      <w:tr w:rsidR="00D952B3" w:rsidRPr="00D952B3" w:rsidTr="007B262E">
        <w:tc>
          <w:tcPr>
            <w:tcW w:w="2718" w:type="dxa"/>
          </w:tcPr>
          <w:p w:rsidR="00D952B3" w:rsidRPr="00D952B3" w:rsidRDefault="00D952B3" w:rsidP="00D952B3">
            <w:pPr>
              <w:rPr>
                <w:sz w:val="28"/>
                <w:szCs w:val="28"/>
              </w:rPr>
            </w:pPr>
            <w:r w:rsidRPr="00D952B3">
              <w:rPr>
                <w:sz w:val="22"/>
                <w:szCs w:val="28"/>
              </w:rPr>
              <w:t>Backup Documentation</w:t>
            </w:r>
          </w:p>
        </w:tc>
        <w:tc>
          <w:tcPr>
            <w:tcW w:w="8298" w:type="dxa"/>
          </w:tcPr>
          <w:p w:rsidR="00D952B3" w:rsidRPr="00D952B3" w:rsidRDefault="00D952B3" w:rsidP="00D952B3"/>
        </w:tc>
      </w:tr>
    </w:tbl>
    <w:p w:rsidR="00D952B3" w:rsidRPr="00D952B3" w:rsidRDefault="00D952B3" w:rsidP="00D952B3"/>
    <w:p w:rsidR="00D952B3" w:rsidRDefault="00D952B3">
      <w:pPr>
        <w:rPr>
          <w:sz w:val="22"/>
          <w:szCs w:val="22"/>
        </w:rPr>
      </w:pPr>
    </w:p>
    <w:tbl>
      <w:tblPr>
        <w:tblStyle w:val="LightGrid-Accent17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0F77EC" w:rsidTr="00950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sz w:val="22"/>
                <w:szCs w:val="22"/>
              </w:rPr>
              <w:t>Reflection Highlights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Where are we now?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are some patterns emerging?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surprised you?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conclusions / inferences might you draw?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How does this inform potential next steps?</w:t>
            </w:r>
          </w:p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This year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focused on the physical environment, and sensory tools and spaces.  We looked at emotional language but, it was not used school wide.  We have begun to look at a variety of SEL programs and have had many discussions about “what fits our school and community.”   This coming year our 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Self-Regulation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focus will be more 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cohesive and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school wide 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with an academic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approach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included.</w:t>
            </w:r>
          </w:p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77EC" w:rsidRPr="000F77EC" w:rsidTr="00950BBC">
        <w:tc>
          <w:tcPr>
            <w:tcW w:w="2718" w:type="dxa"/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7F0B96">
              <w:rPr>
                <w:bCs w:val="0"/>
                <w:sz w:val="22"/>
                <w:szCs w:val="22"/>
              </w:rPr>
              <w:t>Moody Elementary School</w:t>
            </w:r>
          </w:p>
        </w:tc>
        <w:tc>
          <w:tcPr>
            <w:tcW w:w="4230" w:type="dxa"/>
            <w:vAlign w:val="center"/>
          </w:tcPr>
          <w:p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A2FB6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358" w:type="dxa"/>
            <w:vAlign w:val="center"/>
          </w:tcPr>
          <w:p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8A2FB6">
              <w:rPr>
                <w:sz w:val="22"/>
                <w:szCs w:val="22"/>
              </w:rPr>
              <w:t>2016-2017</w:t>
            </w:r>
          </w:p>
        </w:tc>
      </w:tr>
    </w:tbl>
    <w:p w:rsidR="00177A14" w:rsidRDefault="00177A14">
      <w:pPr>
        <w:rPr>
          <w:sz w:val="22"/>
          <w:szCs w:val="22"/>
        </w:rPr>
      </w:pPr>
    </w:p>
    <w:p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72"/>
        <w:gridCol w:w="3672"/>
        <w:gridCol w:w="3672"/>
      </w:tblGrid>
      <w:tr w:rsidR="005A61B2" w:rsidTr="0017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1101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61B2" w:rsidRPr="009147A6" w:rsidRDefault="005A61B2" w:rsidP="005A61B2">
            <w:pPr>
              <w:rPr>
                <w:b w:val="0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Submitted by School Planning Council:</w:t>
            </w:r>
          </w:p>
        </w:tc>
      </w:tr>
      <w:tr w:rsidR="005A61B2" w:rsidRPr="005A61B2" w:rsidTr="00B04883">
        <w:trPr>
          <w:trHeight w:val="405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672" w:type="dxa"/>
            <w:vAlign w:val="center"/>
          </w:tcPr>
          <w:p w:rsidR="005A61B2" w:rsidRDefault="00AE554C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Deidre James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C84CC6" w:rsidRDefault="000F77EC" w:rsidP="00AE55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Alicia Purvis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Kirsten Gerllays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Heather Skipworth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Recommended by Assistant Superintendent:</w:t>
            </w: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672" w:type="dxa"/>
            <w:vAlign w:val="center"/>
          </w:tcPr>
          <w:p w:rsidR="005A61B2" w:rsidRDefault="007F0B9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Reno Ciolfi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Board and Superintendent Approval:</w:t>
            </w:r>
          </w:p>
        </w:tc>
      </w:tr>
      <w:tr w:rsidR="005A61B2" w:rsidRP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Board Chair</w:t>
            </w:r>
          </w:p>
        </w:tc>
        <w:tc>
          <w:tcPr>
            <w:tcW w:w="3672" w:type="dxa"/>
            <w:vAlign w:val="center"/>
          </w:tcPr>
          <w:p w:rsidR="005A61B2" w:rsidRPr="005A61B2" w:rsidRDefault="0087110A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Judy Shirra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5A61B2">
            <w:pPr>
              <w:rPr>
                <w:sz w:val="22"/>
              </w:rPr>
            </w:pPr>
          </w:p>
        </w:tc>
      </w:tr>
      <w:tr w:rsidR="005A61B2" w:rsidRP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Superintendent</w:t>
            </w:r>
          </w:p>
        </w:tc>
        <w:tc>
          <w:tcPr>
            <w:tcW w:w="3672" w:type="dxa"/>
            <w:vAlign w:val="center"/>
          </w:tcPr>
          <w:p w:rsidR="005A61B2" w:rsidRPr="005A61B2" w:rsidRDefault="002A2287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Pat</w:t>
            </w:r>
            <w:r w:rsidR="0087110A">
              <w:rPr>
                <w:sz w:val="22"/>
              </w:rPr>
              <w:t>ricia Gartland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5A61B2">
            <w:pPr>
              <w:rPr>
                <w:sz w:val="22"/>
              </w:rPr>
            </w:pPr>
          </w:p>
        </w:tc>
      </w:tr>
    </w:tbl>
    <w:p w:rsidR="005A61B2" w:rsidRDefault="005A61B2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18"/>
        <w:gridCol w:w="7398"/>
      </w:tblGrid>
      <w:tr w:rsidR="00FF28AD" w:rsidTr="00FF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3618" w:type="dxa"/>
            <w:vAlign w:val="center"/>
          </w:tcPr>
          <w:p w:rsidR="00FF28AD" w:rsidRPr="005A61B2" w:rsidRDefault="00FF28AD" w:rsidP="00FF28AD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Print this page, have it signed by School Planning Council, scan it and attach it here</w:t>
            </w:r>
          </w:p>
        </w:tc>
        <w:tc>
          <w:tcPr>
            <w:tcW w:w="7398" w:type="dxa"/>
            <w:vAlign w:val="center"/>
          </w:tcPr>
          <w:p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7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55" w:rsidRDefault="006A7855" w:rsidP="00090AC0">
      <w:r>
        <w:separator/>
      </w:r>
    </w:p>
  </w:endnote>
  <w:endnote w:type="continuationSeparator" w:id="0">
    <w:p w:rsidR="006A7855" w:rsidRDefault="006A7855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93CEE" w:rsidRDefault="00893CEE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A78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A78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55" w:rsidRDefault="006A7855" w:rsidP="00090AC0">
      <w:r>
        <w:separator/>
      </w:r>
    </w:p>
  </w:footnote>
  <w:footnote w:type="continuationSeparator" w:id="0">
    <w:p w:rsidR="006A7855" w:rsidRDefault="006A7855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E2F"/>
    <w:multiLevelType w:val="hybridMultilevel"/>
    <w:tmpl w:val="69D6BC1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75E"/>
    <w:multiLevelType w:val="hybridMultilevel"/>
    <w:tmpl w:val="E5881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698"/>
    <w:multiLevelType w:val="hybridMultilevel"/>
    <w:tmpl w:val="4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5271"/>
    <w:multiLevelType w:val="hybridMultilevel"/>
    <w:tmpl w:val="A0D0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6779D"/>
    <w:multiLevelType w:val="hybridMultilevel"/>
    <w:tmpl w:val="08AC0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6127D"/>
    <w:multiLevelType w:val="hybridMultilevel"/>
    <w:tmpl w:val="EE96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45A2"/>
    <w:multiLevelType w:val="hybridMultilevel"/>
    <w:tmpl w:val="77FEB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40272"/>
    <w:multiLevelType w:val="hybridMultilevel"/>
    <w:tmpl w:val="19C61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3A4"/>
    <w:multiLevelType w:val="hybridMultilevel"/>
    <w:tmpl w:val="91166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19B0"/>
    <w:multiLevelType w:val="hybridMultilevel"/>
    <w:tmpl w:val="6A1E75A8"/>
    <w:lvl w:ilvl="0" w:tplc="DAA206BA">
      <w:start w:val="1"/>
      <w:numFmt w:val="bullet"/>
      <w:lvlText w:val="-"/>
      <w:lvlJc w:val="left"/>
      <w:pPr>
        <w:ind w:left="112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71483"/>
    <w:multiLevelType w:val="hybridMultilevel"/>
    <w:tmpl w:val="E02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32A7A"/>
    <w:multiLevelType w:val="hybridMultilevel"/>
    <w:tmpl w:val="3B660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09C2"/>
    <w:multiLevelType w:val="hybridMultilevel"/>
    <w:tmpl w:val="42681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449EB"/>
    <w:multiLevelType w:val="hybridMultilevel"/>
    <w:tmpl w:val="A53E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216E"/>
    <w:multiLevelType w:val="hybridMultilevel"/>
    <w:tmpl w:val="D306409C"/>
    <w:lvl w:ilvl="0" w:tplc="BCC4324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B73B7"/>
    <w:multiLevelType w:val="hybridMultilevel"/>
    <w:tmpl w:val="8A4E78F6"/>
    <w:lvl w:ilvl="0" w:tplc="DAA206BA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57A39"/>
    <w:multiLevelType w:val="hybridMultilevel"/>
    <w:tmpl w:val="46F240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B2A0E"/>
    <w:multiLevelType w:val="hybridMultilevel"/>
    <w:tmpl w:val="34C02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B4C2B"/>
    <w:multiLevelType w:val="hybridMultilevel"/>
    <w:tmpl w:val="231A2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F371A"/>
    <w:multiLevelType w:val="hybridMultilevel"/>
    <w:tmpl w:val="509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C77B8"/>
    <w:multiLevelType w:val="hybridMultilevel"/>
    <w:tmpl w:val="6010D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36167"/>
    <w:multiLevelType w:val="hybridMultilevel"/>
    <w:tmpl w:val="4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3"/>
  </w:num>
  <w:num w:numId="5">
    <w:abstractNumId w:val="12"/>
  </w:num>
  <w:num w:numId="6">
    <w:abstractNumId w:val="19"/>
  </w:num>
  <w:num w:numId="7">
    <w:abstractNumId w:val="31"/>
  </w:num>
  <w:num w:numId="8">
    <w:abstractNumId w:val="18"/>
  </w:num>
  <w:num w:numId="9">
    <w:abstractNumId w:val="28"/>
  </w:num>
  <w:num w:numId="10">
    <w:abstractNumId w:val="22"/>
  </w:num>
  <w:num w:numId="11">
    <w:abstractNumId w:val="1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11"/>
  </w:num>
  <w:num w:numId="17">
    <w:abstractNumId w:val="27"/>
  </w:num>
  <w:num w:numId="18">
    <w:abstractNumId w:val="17"/>
  </w:num>
  <w:num w:numId="19">
    <w:abstractNumId w:val="13"/>
  </w:num>
  <w:num w:numId="20">
    <w:abstractNumId w:val="14"/>
  </w:num>
  <w:num w:numId="21">
    <w:abstractNumId w:val="30"/>
  </w:num>
  <w:num w:numId="22">
    <w:abstractNumId w:val="2"/>
  </w:num>
  <w:num w:numId="23">
    <w:abstractNumId w:val="6"/>
  </w:num>
  <w:num w:numId="24">
    <w:abstractNumId w:val="15"/>
  </w:num>
  <w:num w:numId="25">
    <w:abstractNumId w:val="20"/>
  </w:num>
  <w:num w:numId="26">
    <w:abstractNumId w:val="8"/>
  </w:num>
  <w:num w:numId="27">
    <w:abstractNumId w:val="24"/>
  </w:num>
  <w:num w:numId="28">
    <w:abstractNumId w:val="3"/>
  </w:num>
  <w:num w:numId="29">
    <w:abstractNumId w:val="0"/>
  </w:num>
  <w:num w:numId="30">
    <w:abstractNumId w:val="5"/>
  </w:num>
  <w:num w:numId="31">
    <w:abstractNumId w:val="9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239E"/>
    <w:rsid w:val="00005092"/>
    <w:rsid w:val="00007DBD"/>
    <w:rsid w:val="00010649"/>
    <w:rsid w:val="00031626"/>
    <w:rsid w:val="00037AAF"/>
    <w:rsid w:val="000660B9"/>
    <w:rsid w:val="00090AC0"/>
    <w:rsid w:val="000A6CA7"/>
    <w:rsid w:val="000B4EA0"/>
    <w:rsid w:val="000B5993"/>
    <w:rsid w:val="000C0381"/>
    <w:rsid w:val="000C5C5C"/>
    <w:rsid w:val="000C7578"/>
    <w:rsid w:val="000D0B33"/>
    <w:rsid w:val="000E407C"/>
    <w:rsid w:val="000F4276"/>
    <w:rsid w:val="000F77EC"/>
    <w:rsid w:val="00122939"/>
    <w:rsid w:val="001327F6"/>
    <w:rsid w:val="00163762"/>
    <w:rsid w:val="00177A14"/>
    <w:rsid w:val="00191946"/>
    <w:rsid w:val="001933B6"/>
    <w:rsid w:val="00195A3A"/>
    <w:rsid w:val="0019644C"/>
    <w:rsid w:val="00196DB9"/>
    <w:rsid w:val="001A187D"/>
    <w:rsid w:val="001D2D52"/>
    <w:rsid w:val="001D56DF"/>
    <w:rsid w:val="001F29E7"/>
    <w:rsid w:val="001F6184"/>
    <w:rsid w:val="0023560F"/>
    <w:rsid w:val="00236732"/>
    <w:rsid w:val="002653F0"/>
    <w:rsid w:val="00294A90"/>
    <w:rsid w:val="002A17E8"/>
    <w:rsid w:val="002A2287"/>
    <w:rsid w:val="002C338F"/>
    <w:rsid w:val="002E174D"/>
    <w:rsid w:val="002F3F0C"/>
    <w:rsid w:val="00335EF7"/>
    <w:rsid w:val="003630D0"/>
    <w:rsid w:val="0037438B"/>
    <w:rsid w:val="003B63BB"/>
    <w:rsid w:val="003D1148"/>
    <w:rsid w:val="003F1954"/>
    <w:rsid w:val="004056D2"/>
    <w:rsid w:val="00413605"/>
    <w:rsid w:val="004535FB"/>
    <w:rsid w:val="0045765B"/>
    <w:rsid w:val="00481FEF"/>
    <w:rsid w:val="004947B0"/>
    <w:rsid w:val="004D5479"/>
    <w:rsid w:val="004F3CC6"/>
    <w:rsid w:val="004F42A7"/>
    <w:rsid w:val="00503F0B"/>
    <w:rsid w:val="00514678"/>
    <w:rsid w:val="00525C9A"/>
    <w:rsid w:val="00585DED"/>
    <w:rsid w:val="005A4C2E"/>
    <w:rsid w:val="005A61B2"/>
    <w:rsid w:val="005B00AB"/>
    <w:rsid w:val="005B32F8"/>
    <w:rsid w:val="005C3561"/>
    <w:rsid w:val="005C3923"/>
    <w:rsid w:val="005D311C"/>
    <w:rsid w:val="005D5D87"/>
    <w:rsid w:val="005E64C9"/>
    <w:rsid w:val="00612657"/>
    <w:rsid w:val="00691865"/>
    <w:rsid w:val="006A064F"/>
    <w:rsid w:val="006A7855"/>
    <w:rsid w:val="006B0CA6"/>
    <w:rsid w:val="006C2BD5"/>
    <w:rsid w:val="006D3A8B"/>
    <w:rsid w:val="00712862"/>
    <w:rsid w:val="0071343B"/>
    <w:rsid w:val="0073139B"/>
    <w:rsid w:val="00777A83"/>
    <w:rsid w:val="00787A5F"/>
    <w:rsid w:val="00795E41"/>
    <w:rsid w:val="007A01E4"/>
    <w:rsid w:val="007B14AB"/>
    <w:rsid w:val="007B18FC"/>
    <w:rsid w:val="007B51D8"/>
    <w:rsid w:val="007F0B96"/>
    <w:rsid w:val="007F7D21"/>
    <w:rsid w:val="00812C51"/>
    <w:rsid w:val="00814255"/>
    <w:rsid w:val="0087110A"/>
    <w:rsid w:val="00893CEE"/>
    <w:rsid w:val="008A2FB6"/>
    <w:rsid w:val="008A381C"/>
    <w:rsid w:val="009147A6"/>
    <w:rsid w:val="009179F7"/>
    <w:rsid w:val="009273FB"/>
    <w:rsid w:val="009541EE"/>
    <w:rsid w:val="00964ED4"/>
    <w:rsid w:val="00965D50"/>
    <w:rsid w:val="00973AD1"/>
    <w:rsid w:val="00994546"/>
    <w:rsid w:val="00997124"/>
    <w:rsid w:val="009C2949"/>
    <w:rsid w:val="009D30D7"/>
    <w:rsid w:val="00A022A6"/>
    <w:rsid w:val="00A10FA2"/>
    <w:rsid w:val="00A1320D"/>
    <w:rsid w:val="00A17217"/>
    <w:rsid w:val="00A26900"/>
    <w:rsid w:val="00A76569"/>
    <w:rsid w:val="00A854BC"/>
    <w:rsid w:val="00A8713F"/>
    <w:rsid w:val="00AA5F9B"/>
    <w:rsid w:val="00AB26B3"/>
    <w:rsid w:val="00AB26BE"/>
    <w:rsid w:val="00AB75DC"/>
    <w:rsid w:val="00AC7A62"/>
    <w:rsid w:val="00AD61B7"/>
    <w:rsid w:val="00AE554C"/>
    <w:rsid w:val="00AF28F2"/>
    <w:rsid w:val="00B04883"/>
    <w:rsid w:val="00B15E43"/>
    <w:rsid w:val="00B37DA8"/>
    <w:rsid w:val="00B42DCE"/>
    <w:rsid w:val="00B517C4"/>
    <w:rsid w:val="00B51F32"/>
    <w:rsid w:val="00BC4604"/>
    <w:rsid w:val="00BE36A5"/>
    <w:rsid w:val="00BE4241"/>
    <w:rsid w:val="00C0785F"/>
    <w:rsid w:val="00C12977"/>
    <w:rsid w:val="00C212E6"/>
    <w:rsid w:val="00C358F0"/>
    <w:rsid w:val="00C524FA"/>
    <w:rsid w:val="00C52EF9"/>
    <w:rsid w:val="00C70371"/>
    <w:rsid w:val="00C76D33"/>
    <w:rsid w:val="00C83ADC"/>
    <w:rsid w:val="00C84CC6"/>
    <w:rsid w:val="00C94983"/>
    <w:rsid w:val="00C97A8C"/>
    <w:rsid w:val="00D20CAC"/>
    <w:rsid w:val="00D2398B"/>
    <w:rsid w:val="00D25D8F"/>
    <w:rsid w:val="00D34FA9"/>
    <w:rsid w:val="00D71E79"/>
    <w:rsid w:val="00D92628"/>
    <w:rsid w:val="00D952B3"/>
    <w:rsid w:val="00DC2920"/>
    <w:rsid w:val="00DC3598"/>
    <w:rsid w:val="00DD5FFC"/>
    <w:rsid w:val="00E03891"/>
    <w:rsid w:val="00E26406"/>
    <w:rsid w:val="00E3364B"/>
    <w:rsid w:val="00E36BE0"/>
    <w:rsid w:val="00E42704"/>
    <w:rsid w:val="00EB4628"/>
    <w:rsid w:val="00EE2E10"/>
    <w:rsid w:val="00F01C34"/>
    <w:rsid w:val="00F03BE0"/>
    <w:rsid w:val="00F1484D"/>
    <w:rsid w:val="00F370E5"/>
    <w:rsid w:val="00F53225"/>
    <w:rsid w:val="00F54949"/>
    <w:rsid w:val="00F7162A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732"/>
    <w:rPr>
      <w:color w:val="800080" w:themeColor="followedHyperlink"/>
      <w:u w:val="single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7">
    <w:name w:val="Light Grid - Accent 17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732"/>
    <w:rPr>
      <w:color w:val="800080" w:themeColor="followedHyperlink"/>
      <w:u w:val="single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7">
    <w:name w:val="Light Grid - Accent 17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22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ilearn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bctf.ca/bctla/pub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raz-kids.com/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indplay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91103"/>
    <w:rsid w:val="00095E7E"/>
    <w:rsid w:val="000F4301"/>
    <w:rsid w:val="001C1914"/>
    <w:rsid w:val="001E5200"/>
    <w:rsid w:val="002759F1"/>
    <w:rsid w:val="002979D0"/>
    <w:rsid w:val="0046366F"/>
    <w:rsid w:val="005078AA"/>
    <w:rsid w:val="006410F3"/>
    <w:rsid w:val="006E235A"/>
    <w:rsid w:val="0078511F"/>
    <w:rsid w:val="009153E3"/>
    <w:rsid w:val="00A04361"/>
    <w:rsid w:val="00A31BCB"/>
    <w:rsid w:val="00A3536B"/>
    <w:rsid w:val="00A477F4"/>
    <w:rsid w:val="00A74571"/>
    <w:rsid w:val="00AC1761"/>
    <w:rsid w:val="00B172DF"/>
    <w:rsid w:val="00B201ED"/>
    <w:rsid w:val="00B879D3"/>
    <w:rsid w:val="00B92373"/>
    <w:rsid w:val="00C5061F"/>
    <w:rsid w:val="00C61017"/>
    <w:rsid w:val="00DC68F1"/>
    <w:rsid w:val="00E31E22"/>
    <w:rsid w:val="00EB5C6B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F47AB44371458E7A348F130545CA" ma:contentTypeVersion="0" ma:contentTypeDescription="Create a new document." ma:contentTypeScope="" ma:versionID="c5dfe4e7f413e1816b997a1cfa1e8d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EEC6C-1A60-42A1-B4FB-A70B459E2B0B}"/>
</file>

<file path=customXml/itemProps2.xml><?xml version="1.0" encoding="utf-8"?>
<ds:datastoreItem xmlns:ds="http://schemas.openxmlformats.org/officeDocument/2006/customXml" ds:itemID="{7120EEF2-A821-4FF0-AC9A-36556C1669BB}"/>
</file>

<file path=customXml/itemProps3.xml><?xml version="1.0" encoding="utf-8"?>
<ds:datastoreItem xmlns:ds="http://schemas.openxmlformats.org/officeDocument/2006/customXml" ds:itemID="{8B3B9376-AB68-4EE2-90AF-1580712B697D}"/>
</file>

<file path=customXml/itemProps4.xml><?xml version="1.0" encoding="utf-8"?>
<ds:datastoreItem xmlns:ds="http://schemas.openxmlformats.org/officeDocument/2006/customXml" ds:itemID="{2F7530CF-91D0-4B24-8B41-B0CF044B6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Anjos, Elspeth</dc:creator>
  <cp:lastModifiedBy>James, Deidre</cp:lastModifiedBy>
  <cp:revision>2</cp:revision>
  <cp:lastPrinted>2016-06-06T21:32:00Z</cp:lastPrinted>
  <dcterms:created xsi:type="dcterms:W3CDTF">2016-10-26T23:06:00Z</dcterms:created>
  <dcterms:modified xsi:type="dcterms:W3CDTF">2016-10-26T23:06:00Z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0x010100C460F47AB44371458E7A348F130545CA</vt:lpwstr>
  </property>
</Properties>
</file>